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246A5" w14:textId="78F19301" w:rsidR="00B70F56" w:rsidRDefault="1BAA755E" w:rsidP="727BFE15">
      <w:pPr>
        <w:pStyle w:val="DocTitle"/>
        <w:spacing w:before="0" w:after="0"/>
      </w:pPr>
      <w:bookmarkStart w:id="0" w:name="_Int_oqiJiosB"/>
      <w:r>
        <w:t xml:space="preserve">Understanding </w:t>
      </w:r>
      <w:r w:rsidR="1B13EBD3">
        <w:t xml:space="preserve">Tariffed On-Bill Investment </w:t>
      </w:r>
      <w:r w:rsidR="19D9C376">
        <w:t>Program</w:t>
      </w:r>
      <w:r>
        <w:t>s</w:t>
      </w:r>
      <w:bookmarkEnd w:id="0"/>
    </w:p>
    <w:p w14:paraId="7AE8A3D0" w14:textId="57BB472B" w:rsidR="006711E5" w:rsidRDefault="3BDFC0ED" w:rsidP="009529FF">
      <w:pPr>
        <w:pStyle w:val="Heading2"/>
      </w:pPr>
      <w:bookmarkStart w:id="1" w:name="_Toc98921594"/>
      <w:bookmarkStart w:id="2" w:name="_Toc88475993"/>
      <w:bookmarkStart w:id="3" w:name="_Toc92607566"/>
      <w:r>
        <w:t xml:space="preserve">A </w:t>
      </w:r>
      <w:bookmarkEnd w:id="1"/>
      <w:r w:rsidR="009529FF">
        <w:t>Model Program Plan in Alignment with</w:t>
      </w:r>
      <w:bookmarkStart w:id="4" w:name="_Toc98921595"/>
      <w:r w:rsidR="1B13EBD3">
        <w:t xml:space="preserve"> California Public Utilities Commission</w:t>
      </w:r>
      <w:bookmarkEnd w:id="2"/>
      <w:bookmarkEnd w:id="3"/>
      <w:bookmarkEnd w:id="4"/>
      <w:r w:rsidR="009529FF">
        <w:t xml:space="preserve"> Guidance</w:t>
      </w:r>
    </w:p>
    <w:p w14:paraId="14382543" w14:textId="053F4F9C" w:rsidR="00B70F56" w:rsidRDefault="7541E0E6" w:rsidP="00B70F56">
      <w:pPr>
        <w:rPr>
          <w:rFonts w:ascii="Palatino Linotype" w:eastAsia="Palatino Linotype" w:hAnsi="Palatino Linotype"/>
          <w:color w:val="141414"/>
        </w:rPr>
      </w:pPr>
      <w:r>
        <w:rPr>
          <w:noProof/>
        </w:rPr>
        <w:drawing>
          <wp:inline distT="0" distB="0" distL="0" distR="0" wp14:anchorId="20714AF7" wp14:editId="7755CF46">
            <wp:extent cx="5791200" cy="3860800"/>
            <wp:effectExtent l="0" t="0" r="0" b="0"/>
            <wp:docPr id="538103630" name="Picture 53810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1200" cy="3860800"/>
                    </a:xfrm>
                    <a:prstGeom prst="rect">
                      <a:avLst/>
                    </a:prstGeom>
                  </pic:spPr>
                </pic:pic>
              </a:graphicData>
            </a:graphic>
          </wp:inline>
        </w:drawing>
      </w:r>
    </w:p>
    <w:p w14:paraId="48FA3928" w14:textId="6A5FB78B" w:rsidR="00B70F56" w:rsidRDefault="00B70F56" w:rsidP="00B70F56"/>
    <w:p w14:paraId="751139F7" w14:textId="01713E82" w:rsidR="00DF5A59" w:rsidRDefault="00DF5A59" w:rsidP="00B70F56">
      <w:r>
        <w:t>April 15, 2022</w:t>
      </w:r>
    </w:p>
    <w:p w14:paraId="0424E951" w14:textId="6539C0AD" w:rsidR="004D00C4" w:rsidRDefault="004D00C4" w:rsidP="00B70F56"/>
    <w:p w14:paraId="79DF6B43" w14:textId="3C84362F" w:rsidR="004D00C4" w:rsidRDefault="18F9CB68" w:rsidP="00B70F56">
      <w:r>
        <w:t>[</w:t>
      </w:r>
      <w:r w:rsidR="5A4A0518">
        <w:t xml:space="preserve">Program </w:t>
      </w:r>
      <w:r>
        <w:t xml:space="preserve">Sponsor </w:t>
      </w:r>
      <w:r w:rsidR="5A4A0518">
        <w:t>n</w:t>
      </w:r>
      <w:r>
        <w:t xml:space="preserve">ame and </w:t>
      </w:r>
      <w:r w:rsidR="5A4A0518">
        <w:t>l</w:t>
      </w:r>
      <w:r>
        <w:t>ogo</w:t>
      </w:r>
      <w:r w:rsidR="5A4A0518">
        <w:t xml:space="preserve"> </w:t>
      </w:r>
      <w:r w:rsidR="3143E814">
        <w:t xml:space="preserve">go </w:t>
      </w:r>
      <w:r w:rsidR="5A4A0518">
        <w:t>here</w:t>
      </w:r>
      <w:r>
        <w:t>]</w:t>
      </w:r>
    </w:p>
    <w:p w14:paraId="529D6B51" w14:textId="77777777" w:rsidR="004D00C4" w:rsidRPr="001B25D6" w:rsidRDefault="004D00C4" w:rsidP="00B70F56"/>
    <w:p w14:paraId="5CB9A97E" w14:textId="77777777" w:rsidR="00F35AD2" w:rsidRDefault="00F35AD2">
      <w:pPr>
        <w:spacing w:before="0" w:after="0" w:line="240" w:lineRule="auto"/>
        <w:rPr>
          <w:rFonts w:asciiTheme="majorHAnsi" w:eastAsiaTheme="majorEastAsia" w:hAnsiTheme="majorHAnsi" w:cs="Times New Roman (Headings CS)"/>
          <w:b/>
          <w:bCs/>
          <w:color w:val="20546B" w:themeColor="text2"/>
          <w:spacing w:val="-6"/>
          <w:sz w:val="32"/>
          <w:szCs w:val="32"/>
        </w:rPr>
      </w:pPr>
      <w:r>
        <w:br w:type="page"/>
      </w:r>
    </w:p>
    <w:p w14:paraId="5EAC75BF" w14:textId="1D9E4B40" w:rsidR="00B47AFD" w:rsidRDefault="00B47AFD" w:rsidP="00D8489D">
      <w:pPr>
        <w:pStyle w:val="TOCHeading"/>
      </w:pPr>
      <w:r>
        <w:lastRenderedPageBreak/>
        <w:t>Table of Contents</w:t>
      </w:r>
    </w:p>
    <w:p w14:paraId="4F458A7E" w14:textId="5ACFE67C" w:rsidR="00DC4EAC" w:rsidRDefault="00B47AFD" w:rsidP="00DC4EAC">
      <w:pPr>
        <w:pStyle w:val="TOC2"/>
        <w:ind w:left="0"/>
        <w:rPr>
          <w:rFonts w:eastAsiaTheme="minorEastAsia" w:cstheme="minorBidi"/>
          <w:sz w:val="22"/>
        </w:rPr>
      </w:pPr>
      <w:r>
        <w:rPr>
          <w:rFonts w:eastAsia="Calibri" w:cs="Calibri"/>
          <w:color w:val="auto"/>
        </w:rPr>
        <w:fldChar w:fldCharType="begin"/>
      </w:r>
      <w:r>
        <w:instrText xml:space="preserve"> TOC \o "1-2" \h \z \u </w:instrText>
      </w:r>
      <w:r>
        <w:rPr>
          <w:rFonts w:eastAsia="Calibri" w:cs="Calibri"/>
          <w:color w:val="auto"/>
        </w:rPr>
        <w:fldChar w:fldCharType="separate"/>
      </w:r>
      <w:hyperlink w:anchor="_Toc98921597" w:history="1">
        <w:r w:rsidR="00DC4EAC" w:rsidRPr="0064286D">
          <w:rPr>
            <w:rStyle w:val="Hyperlink"/>
          </w:rPr>
          <w:t>Executive Summary</w:t>
        </w:r>
        <w:r w:rsidR="00DC4EAC">
          <w:rPr>
            <w:webHidden/>
          </w:rPr>
          <w:tab/>
        </w:r>
        <w:r w:rsidR="00DC4EAC">
          <w:rPr>
            <w:webHidden/>
          </w:rPr>
          <w:fldChar w:fldCharType="begin"/>
        </w:r>
        <w:r w:rsidR="00DC4EAC">
          <w:rPr>
            <w:webHidden/>
          </w:rPr>
          <w:instrText xml:space="preserve"> PAGEREF _Toc98921597 \h </w:instrText>
        </w:r>
        <w:r w:rsidR="00DC4EAC">
          <w:rPr>
            <w:webHidden/>
          </w:rPr>
        </w:r>
        <w:r w:rsidR="00DC4EAC">
          <w:rPr>
            <w:webHidden/>
          </w:rPr>
          <w:fldChar w:fldCharType="separate"/>
        </w:r>
        <w:r w:rsidR="0014273C">
          <w:rPr>
            <w:webHidden/>
          </w:rPr>
          <w:t>5</w:t>
        </w:r>
        <w:r w:rsidR="00DC4EAC">
          <w:rPr>
            <w:webHidden/>
          </w:rPr>
          <w:fldChar w:fldCharType="end"/>
        </w:r>
      </w:hyperlink>
    </w:p>
    <w:p w14:paraId="39DEE15C" w14:textId="06478780" w:rsidR="00DC4EAC" w:rsidRDefault="004079CD">
      <w:pPr>
        <w:pStyle w:val="TOC1"/>
        <w:rPr>
          <w:rFonts w:eastAsiaTheme="minorEastAsia" w:cstheme="minorBidi"/>
          <w:sz w:val="22"/>
          <w:szCs w:val="22"/>
        </w:rPr>
      </w:pPr>
      <w:hyperlink w:anchor="_Toc98921598" w:history="1">
        <w:r w:rsidR="00DC4EAC" w:rsidRPr="0064286D">
          <w:rPr>
            <w:rStyle w:val="Hyperlink"/>
          </w:rPr>
          <w:t>PART I: Overall Goals and Principles</w:t>
        </w:r>
        <w:r w:rsidR="00DC4EAC">
          <w:rPr>
            <w:webHidden/>
          </w:rPr>
          <w:tab/>
        </w:r>
        <w:r w:rsidR="00DC4EAC">
          <w:rPr>
            <w:webHidden/>
          </w:rPr>
          <w:fldChar w:fldCharType="begin"/>
        </w:r>
        <w:r w:rsidR="00DC4EAC">
          <w:rPr>
            <w:webHidden/>
          </w:rPr>
          <w:instrText xml:space="preserve"> PAGEREF _Toc98921598 \h </w:instrText>
        </w:r>
        <w:r w:rsidR="00DC4EAC">
          <w:rPr>
            <w:webHidden/>
          </w:rPr>
        </w:r>
        <w:r w:rsidR="00DC4EAC">
          <w:rPr>
            <w:webHidden/>
          </w:rPr>
          <w:fldChar w:fldCharType="separate"/>
        </w:r>
        <w:r w:rsidR="0014273C">
          <w:rPr>
            <w:webHidden/>
          </w:rPr>
          <w:t>6</w:t>
        </w:r>
        <w:r w:rsidR="00DC4EAC">
          <w:rPr>
            <w:webHidden/>
          </w:rPr>
          <w:fldChar w:fldCharType="end"/>
        </w:r>
      </w:hyperlink>
    </w:p>
    <w:p w14:paraId="36785B3E" w14:textId="26320DCE" w:rsidR="00DC4EAC" w:rsidRDefault="004079CD">
      <w:pPr>
        <w:pStyle w:val="TOC2"/>
        <w:rPr>
          <w:rFonts w:eastAsiaTheme="minorEastAsia" w:cstheme="minorBidi"/>
          <w:color w:val="auto"/>
          <w:sz w:val="22"/>
        </w:rPr>
      </w:pPr>
      <w:hyperlink w:anchor="_Toc98921599" w:history="1">
        <w:r w:rsidR="00DC4EAC" w:rsidRPr="0064286D">
          <w:rPr>
            <w:rStyle w:val="Hyperlink"/>
          </w:rPr>
          <w:t>Program Goals, Objectives, and Market Barriers Addressed</w:t>
        </w:r>
        <w:r w:rsidR="00DC4EAC">
          <w:rPr>
            <w:webHidden/>
          </w:rPr>
          <w:tab/>
        </w:r>
        <w:r w:rsidR="00DC4EAC">
          <w:rPr>
            <w:webHidden/>
          </w:rPr>
          <w:fldChar w:fldCharType="begin"/>
        </w:r>
        <w:r w:rsidR="00DC4EAC">
          <w:rPr>
            <w:webHidden/>
          </w:rPr>
          <w:instrText xml:space="preserve"> PAGEREF _Toc98921599 \h </w:instrText>
        </w:r>
        <w:r w:rsidR="00DC4EAC">
          <w:rPr>
            <w:webHidden/>
          </w:rPr>
        </w:r>
        <w:r w:rsidR="00DC4EAC">
          <w:rPr>
            <w:webHidden/>
          </w:rPr>
          <w:fldChar w:fldCharType="separate"/>
        </w:r>
        <w:r w:rsidR="0014273C">
          <w:rPr>
            <w:webHidden/>
          </w:rPr>
          <w:t>6</w:t>
        </w:r>
        <w:r w:rsidR="00DC4EAC">
          <w:rPr>
            <w:webHidden/>
          </w:rPr>
          <w:fldChar w:fldCharType="end"/>
        </w:r>
      </w:hyperlink>
    </w:p>
    <w:p w14:paraId="425124AD" w14:textId="19A5A963" w:rsidR="00DC4EAC" w:rsidRDefault="004079CD">
      <w:pPr>
        <w:pStyle w:val="TOC2"/>
        <w:rPr>
          <w:rFonts w:eastAsiaTheme="minorEastAsia" w:cstheme="minorBidi"/>
          <w:color w:val="auto"/>
          <w:sz w:val="22"/>
        </w:rPr>
      </w:pPr>
      <w:hyperlink w:anchor="_Toc98921600" w:history="1">
        <w:r w:rsidR="00DC4EAC" w:rsidRPr="0064286D">
          <w:rPr>
            <w:rStyle w:val="Hyperlink"/>
            <w:rFonts w:eastAsia="Arial"/>
          </w:rPr>
          <w:t>Financial Pro Forma, and Expected Benefits and Costs</w:t>
        </w:r>
        <w:r w:rsidR="00DC4EAC">
          <w:rPr>
            <w:webHidden/>
          </w:rPr>
          <w:tab/>
        </w:r>
        <w:r w:rsidR="00DC4EAC">
          <w:rPr>
            <w:webHidden/>
          </w:rPr>
          <w:fldChar w:fldCharType="begin"/>
        </w:r>
        <w:r w:rsidR="00DC4EAC">
          <w:rPr>
            <w:webHidden/>
          </w:rPr>
          <w:instrText xml:space="preserve"> PAGEREF _Toc98921600 \h </w:instrText>
        </w:r>
        <w:r w:rsidR="00DC4EAC">
          <w:rPr>
            <w:webHidden/>
          </w:rPr>
        </w:r>
        <w:r w:rsidR="00DC4EAC">
          <w:rPr>
            <w:webHidden/>
          </w:rPr>
          <w:fldChar w:fldCharType="separate"/>
        </w:r>
        <w:r w:rsidR="0014273C">
          <w:rPr>
            <w:webHidden/>
          </w:rPr>
          <w:t>11</w:t>
        </w:r>
        <w:r w:rsidR="00DC4EAC">
          <w:rPr>
            <w:webHidden/>
          </w:rPr>
          <w:fldChar w:fldCharType="end"/>
        </w:r>
      </w:hyperlink>
    </w:p>
    <w:p w14:paraId="3DF8E1CE" w14:textId="15E02D78" w:rsidR="00DC4EAC" w:rsidRDefault="004079CD">
      <w:pPr>
        <w:pStyle w:val="TOC2"/>
        <w:rPr>
          <w:rFonts w:eastAsiaTheme="minorEastAsia" w:cstheme="minorBidi"/>
          <w:color w:val="auto"/>
          <w:sz w:val="22"/>
        </w:rPr>
      </w:pPr>
      <w:hyperlink w:anchor="_Toc98921601" w:history="1">
        <w:r w:rsidR="00DC4EAC" w:rsidRPr="0064286D">
          <w:rPr>
            <w:rStyle w:val="Hyperlink"/>
          </w:rPr>
          <w:t>Alignment with ESJ Action Plan Goals</w:t>
        </w:r>
        <w:r w:rsidR="00DC4EAC">
          <w:rPr>
            <w:webHidden/>
          </w:rPr>
          <w:tab/>
        </w:r>
        <w:r w:rsidR="00DC4EAC">
          <w:rPr>
            <w:webHidden/>
          </w:rPr>
          <w:fldChar w:fldCharType="begin"/>
        </w:r>
        <w:r w:rsidR="00DC4EAC">
          <w:rPr>
            <w:webHidden/>
          </w:rPr>
          <w:instrText xml:space="preserve"> PAGEREF _Toc98921601 \h </w:instrText>
        </w:r>
        <w:r w:rsidR="00DC4EAC">
          <w:rPr>
            <w:webHidden/>
          </w:rPr>
        </w:r>
        <w:r w:rsidR="00DC4EAC">
          <w:rPr>
            <w:webHidden/>
          </w:rPr>
          <w:fldChar w:fldCharType="separate"/>
        </w:r>
        <w:r w:rsidR="0014273C">
          <w:rPr>
            <w:webHidden/>
          </w:rPr>
          <w:t>15</w:t>
        </w:r>
        <w:r w:rsidR="00DC4EAC">
          <w:rPr>
            <w:webHidden/>
          </w:rPr>
          <w:fldChar w:fldCharType="end"/>
        </w:r>
      </w:hyperlink>
    </w:p>
    <w:p w14:paraId="0FFB7754" w14:textId="48901C7D" w:rsidR="00DC4EAC" w:rsidRDefault="004079CD">
      <w:pPr>
        <w:pStyle w:val="TOC1"/>
        <w:rPr>
          <w:rFonts w:eastAsiaTheme="minorEastAsia" w:cstheme="minorBidi"/>
          <w:sz w:val="22"/>
          <w:szCs w:val="22"/>
        </w:rPr>
      </w:pPr>
      <w:hyperlink w:anchor="_Toc98921602" w:history="1">
        <w:r w:rsidR="00DC4EAC" w:rsidRPr="0064286D">
          <w:rPr>
            <w:rStyle w:val="Hyperlink"/>
          </w:rPr>
          <w:t>PART II: Financing Program Requirements</w:t>
        </w:r>
        <w:r w:rsidR="00DC4EAC">
          <w:rPr>
            <w:webHidden/>
          </w:rPr>
          <w:tab/>
        </w:r>
        <w:r w:rsidR="00DC4EAC">
          <w:rPr>
            <w:webHidden/>
          </w:rPr>
          <w:fldChar w:fldCharType="begin"/>
        </w:r>
        <w:r w:rsidR="00DC4EAC">
          <w:rPr>
            <w:webHidden/>
          </w:rPr>
          <w:instrText xml:space="preserve"> PAGEREF _Toc98921602 \h </w:instrText>
        </w:r>
        <w:r w:rsidR="00DC4EAC">
          <w:rPr>
            <w:webHidden/>
          </w:rPr>
        </w:r>
        <w:r w:rsidR="00DC4EAC">
          <w:rPr>
            <w:webHidden/>
          </w:rPr>
          <w:fldChar w:fldCharType="separate"/>
        </w:r>
        <w:r w:rsidR="0014273C">
          <w:rPr>
            <w:webHidden/>
          </w:rPr>
          <w:t>21</w:t>
        </w:r>
        <w:r w:rsidR="00DC4EAC">
          <w:rPr>
            <w:webHidden/>
          </w:rPr>
          <w:fldChar w:fldCharType="end"/>
        </w:r>
      </w:hyperlink>
    </w:p>
    <w:p w14:paraId="3D1D7CAD" w14:textId="69820EC5" w:rsidR="00DC4EAC" w:rsidRDefault="004079CD">
      <w:pPr>
        <w:pStyle w:val="TOC2"/>
        <w:rPr>
          <w:rFonts w:eastAsiaTheme="minorEastAsia" w:cstheme="minorBidi"/>
          <w:color w:val="auto"/>
          <w:sz w:val="22"/>
        </w:rPr>
      </w:pPr>
      <w:hyperlink w:anchor="_Toc98921603" w:history="1">
        <w:r w:rsidR="00DC4EAC" w:rsidRPr="0064286D">
          <w:rPr>
            <w:rStyle w:val="Hyperlink"/>
          </w:rPr>
          <w:t>Financial Product Description and Program Development</w:t>
        </w:r>
        <w:r w:rsidR="00DC4EAC">
          <w:rPr>
            <w:webHidden/>
          </w:rPr>
          <w:tab/>
        </w:r>
        <w:r w:rsidR="00DC4EAC">
          <w:rPr>
            <w:webHidden/>
          </w:rPr>
          <w:fldChar w:fldCharType="begin"/>
        </w:r>
        <w:r w:rsidR="00DC4EAC">
          <w:rPr>
            <w:webHidden/>
          </w:rPr>
          <w:instrText xml:space="preserve"> PAGEREF _Toc98921603 \h </w:instrText>
        </w:r>
        <w:r w:rsidR="00DC4EAC">
          <w:rPr>
            <w:webHidden/>
          </w:rPr>
        </w:r>
        <w:r w:rsidR="00DC4EAC">
          <w:rPr>
            <w:webHidden/>
          </w:rPr>
          <w:fldChar w:fldCharType="separate"/>
        </w:r>
        <w:r w:rsidR="0014273C">
          <w:rPr>
            <w:webHidden/>
          </w:rPr>
          <w:t>21</w:t>
        </w:r>
        <w:r w:rsidR="00DC4EAC">
          <w:rPr>
            <w:webHidden/>
          </w:rPr>
          <w:fldChar w:fldCharType="end"/>
        </w:r>
      </w:hyperlink>
    </w:p>
    <w:p w14:paraId="2F44C44D" w14:textId="156C1626" w:rsidR="00DC4EAC" w:rsidRDefault="004079CD">
      <w:pPr>
        <w:pStyle w:val="TOC2"/>
        <w:rPr>
          <w:rFonts w:eastAsiaTheme="minorEastAsia" w:cstheme="minorBidi"/>
          <w:color w:val="auto"/>
          <w:sz w:val="22"/>
        </w:rPr>
      </w:pPr>
      <w:hyperlink w:anchor="_Toc98921604" w:history="1">
        <w:r w:rsidR="00DC4EAC" w:rsidRPr="0064286D">
          <w:rPr>
            <w:rStyle w:val="Hyperlink"/>
          </w:rPr>
          <w:t>Customer Protections</w:t>
        </w:r>
        <w:r w:rsidR="00DC4EAC">
          <w:rPr>
            <w:webHidden/>
          </w:rPr>
          <w:tab/>
        </w:r>
        <w:r w:rsidR="00DC4EAC">
          <w:rPr>
            <w:webHidden/>
          </w:rPr>
          <w:fldChar w:fldCharType="begin"/>
        </w:r>
        <w:r w:rsidR="00DC4EAC">
          <w:rPr>
            <w:webHidden/>
          </w:rPr>
          <w:instrText xml:space="preserve"> PAGEREF _Toc98921604 \h </w:instrText>
        </w:r>
        <w:r w:rsidR="00DC4EAC">
          <w:rPr>
            <w:webHidden/>
          </w:rPr>
        </w:r>
        <w:r w:rsidR="00DC4EAC">
          <w:rPr>
            <w:webHidden/>
          </w:rPr>
          <w:fldChar w:fldCharType="separate"/>
        </w:r>
        <w:r w:rsidR="0014273C">
          <w:rPr>
            <w:webHidden/>
          </w:rPr>
          <w:t>40</w:t>
        </w:r>
        <w:r w:rsidR="00DC4EAC">
          <w:rPr>
            <w:webHidden/>
          </w:rPr>
          <w:fldChar w:fldCharType="end"/>
        </w:r>
      </w:hyperlink>
    </w:p>
    <w:p w14:paraId="7C2B9470" w14:textId="3507A582" w:rsidR="00DC4EAC" w:rsidRDefault="004079CD">
      <w:pPr>
        <w:pStyle w:val="TOC1"/>
        <w:rPr>
          <w:rFonts w:eastAsiaTheme="minorEastAsia" w:cstheme="minorBidi"/>
          <w:sz w:val="22"/>
          <w:szCs w:val="22"/>
        </w:rPr>
      </w:pPr>
      <w:hyperlink w:anchor="_Toc98921605" w:history="1">
        <w:r w:rsidR="00DC4EAC" w:rsidRPr="0064286D">
          <w:rPr>
            <w:rStyle w:val="Hyperlink"/>
          </w:rPr>
          <w:t>PART III: Program Design and Delivery Details</w:t>
        </w:r>
        <w:r w:rsidR="00DC4EAC">
          <w:rPr>
            <w:webHidden/>
          </w:rPr>
          <w:tab/>
        </w:r>
        <w:r w:rsidR="00DC4EAC">
          <w:rPr>
            <w:webHidden/>
          </w:rPr>
          <w:fldChar w:fldCharType="begin"/>
        </w:r>
        <w:r w:rsidR="00DC4EAC">
          <w:rPr>
            <w:webHidden/>
          </w:rPr>
          <w:instrText xml:space="preserve"> PAGEREF _Toc98921605 \h </w:instrText>
        </w:r>
        <w:r w:rsidR="00DC4EAC">
          <w:rPr>
            <w:webHidden/>
          </w:rPr>
        </w:r>
        <w:r w:rsidR="00DC4EAC">
          <w:rPr>
            <w:webHidden/>
          </w:rPr>
          <w:fldChar w:fldCharType="separate"/>
        </w:r>
        <w:r w:rsidR="0014273C">
          <w:rPr>
            <w:webHidden/>
          </w:rPr>
          <w:t>51</w:t>
        </w:r>
        <w:r w:rsidR="00DC4EAC">
          <w:rPr>
            <w:webHidden/>
          </w:rPr>
          <w:fldChar w:fldCharType="end"/>
        </w:r>
      </w:hyperlink>
    </w:p>
    <w:p w14:paraId="2EEA7E0E" w14:textId="24D090C4" w:rsidR="00DC4EAC" w:rsidRDefault="004079CD">
      <w:pPr>
        <w:pStyle w:val="TOC2"/>
        <w:rPr>
          <w:rFonts w:eastAsiaTheme="minorEastAsia" w:cstheme="minorBidi"/>
          <w:color w:val="auto"/>
          <w:sz w:val="22"/>
        </w:rPr>
      </w:pPr>
      <w:hyperlink w:anchor="_Toc98921606" w:history="1">
        <w:r w:rsidR="00DC4EAC" w:rsidRPr="0064286D">
          <w:rPr>
            <w:rStyle w:val="Hyperlink"/>
          </w:rPr>
          <w:t>Targeted Customer Sectors</w:t>
        </w:r>
        <w:r w:rsidR="00DC4EAC">
          <w:rPr>
            <w:webHidden/>
          </w:rPr>
          <w:tab/>
        </w:r>
        <w:r w:rsidR="00DC4EAC">
          <w:rPr>
            <w:webHidden/>
          </w:rPr>
          <w:fldChar w:fldCharType="begin"/>
        </w:r>
        <w:r w:rsidR="00DC4EAC">
          <w:rPr>
            <w:webHidden/>
          </w:rPr>
          <w:instrText xml:space="preserve"> PAGEREF _Toc98921606 \h </w:instrText>
        </w:r>
        <w:r w:rsidR="00DC4EAC">
          <w:rPr>
            <w:webHidden/>
          </w:rPr>
        </w:r>
        <w:r w:rsidR="00DC4EAC">
          <w:rPr>
            <w:webHidden/>
          </w:rPr>
          <w:fldChar w:fldCharType="separate"/>
        </w:r>
        <w:r w:rsidR="0014273C">
          <w:rPr>
            <w:webHidden/>
          </w:rPr>
          <w:t>51</w:t>
        </w:r>
        <w:r w:rsidR="00DC4EAC">
          <w:rPr>
            <w:webHidden/>
          </w:rPr>
          <w:fldChar w:fldCharType="end"/>
        </w:r>
      </w:hyperlink>
    </w:p>
    <w:p w14:paraId="74F2B22E" w14:textId="0A9405BB" w:rsidR="00DC4EAC" w:rsidRDefault="004079CD">
      <w:pPr>
        <w:pStyle w:val="TOC2"/>
        <w:rPr>
          <w:rFonts w:eastAsiaTheme="minorEastAsia" w:cstheme="minorBidi"/>
          <w:color w:val="auto"/>
          <w:sz w:val="22"/>
        </w:rPr>
      </w:pPr>
      <w:hyperlink w:anchor="_Toc98921607" w:history="1">
        <w:r w:rsidR="00DC4EAC" w:rsidRPr="0064286D">
          <w:rPr>
            <w:rStyle w:val="Hyperlink"/>
          </w:rPr>
          <w:t>Customer Eligibility</w:t>
        </w:r>
        <w:r w:rsidR="00DC4EAC">
          <w:rPr>
            <w:webHidden/>
          </w:rPr>
          <w:tab/>
        </w:r>
        <w:r w:rsidR="00DC4EAC">
          <w:rPr>
            <w:webHidden/>
          </w:rPr>
          <w:fldChar w:fldCharType="begin"/>
        </w:r>
        <w:r w:rsidR="00DC4EAC">
          <w:rPr>
            <w:webHidden/>
          </w:rPr>
          <w:instrText xml:space="preserve"> PAGEREF _Toc98921607 \h </w:instrText>
        </w:r>
        <w:r w:rsidR="00DC4EAC">
          <w:rPr>
            <w:webHidden/>
          </w:rPr>
        </w:r>
        <w:r w:rsidR="00DC4EAC">
          <w:rPr>
            <w:webHidden/>
          </w:rPr>
          <w:fldChar w:fldCharType="separate"/>
        </w:r>
        <w:r w:rsidR="0014273C">
          <w:rPr>
            <w:webHidden/>
          </w:rPr>
          <w:t>51</w:t>
        </w:r>
        <w:r w:rsidR="00DC4EAC">
          <w:rPr>
            <w:webHidden/>
          </w:rPr>
          <w:fldChar w:fldCharType="end"/>
        </w:r>
      </w:hyperlink>
    </w:p>
    <w:p w14:paraId="1DAA7969" w14:textId="582C4E73" w:rsidR="00DC4EAC" w:rsidRDefault="004079CD">
      <w:pPr>
        <w:pStyle w:val="TOC2"/>
        <w:rPr>
          <w:rFonts w:eastAsiaTheme="minorEastAsia" w:cstheme="minorBidi"/>
          <w:color w:val="auto"/>
          <w:sz w:val="22"/>
        </w:rPr>
      </w:pPr>
      <w:hyperlink w:anchor="_Toc98921608" w:history="1">
        <w:r w:rsidR="00DC4EAC" w:rsidRPr="0064286D">
          <w:rPr>
            <w:rStyle w:val="Hyperlink"/>
          </w:rPr>
          <w:t>Eligible Technologies</w:t>
        </w:r>
        <w:r w:rsidR="00DC4EAC">
          <w:rPr>
            <w:webHidden/>
          </w:rPr>
          <w:tab/>
        </w:r>
        <w:r w:rsidR="00DC4EAC">
          <w:rPr>
            <w:webHidden/>
          </w:rPr>
          <w:fldChar w:fldCharType="begin"/>
        </w:r>
        <w:r w:rsidR="00DC4EAC">
          <w:rPr>
            <w:webHidden/>
          </w:rPr>
          <w:instrText xml:space="preserve"> PAGEREF _Toc98921608 \h </w:instrText>
        </w:r>
        <w:r w:rsidR="00DC4EAC">
          <w:rPr>
            <w:webHidden/>
          </w:rPr>
        </w:r>
        <w:r w:rsidR="00DC4EAC">
          <w:rPr>
            <w:webHidden/>
          </w:rPr>
          <w:fldChar w:fldCharType="separate"/>
        </w:r>
        <w:r w:rsidR="0014273C">
          <w:rPr>
            <w:webHidden/>
          </w:rPr>
          <w:t>53</w:t>
        </w:r>
        <w:r w:rsidR="00DC4EAC">
          <w:rPr>
            <w:webHidden/>
          </w:rPr>
          <w:fldChar w:fldCharType="end"/>
        </w:r>
      </w:hyperlink>
    </w:p>
    <w:p w14:paraId="30007DCC" w14:textId="1021CBF8" w:rsidR="00DC4EAC" w:rsidRDefault="004079CD">
      <w:pPr>
        <w:pStyle w:val="TOC2"/>
        <w:rPr>
          <w:rFonts w:eastAsiaTheme="minorEastAsia" w:cstheme="minorBidi"/>
          <w:color w:val="auto"/>
          <w:sz w:val="22"/>
        </w:rPr>
      </w:pPr>
      <w:hyperlink w:anchor="_Toc98921609" w:history="1">
        <w:r w:rsidR="00DC4EAC" w:rsidRPr="0064286D">
          <w:rPr>
            <w:rStyle w:val="Hyperlink"/>
          </w:rPr>
          <w:t>Combining Financing and Incentives</w:t>
        </w:r>
        <w:r w:rsidR="00DC4EAC">
          <w:rPr>
            <w:webHidden/>
          </w:rPr>
          <w:tab/>
        </w:r>
        <w:r w:rsidR="00DC4EAC">
          <w:rPr>
            <w:webHidden/>
          </w:rPr>
          <w:fldChar w:fldCharType="begin"/>
        </w:r>
        <w:r w:rsidR="00DC4EAC">
          <w:rPr>
            <w:webHidden/>
          </w:rPr>
          <w:instrText xml:space="preserve"> PAGEREF _Toc98921609 \h </w:instrText>
        </w:r>
        <w:r w:rsidR="00DC4EAC">
          <w:rPr>
            <w:webHidden/>
          </w:rPr>
        </w:r>
        <w:r w:rsidR="00DC4EAC">
          <w:rPr>
            <w:webHidden/>
          </w:rPr>
          <w:fldChar w:fldCharType="separate"/>
        </w:r>
        <w:r w:rsidR="0014273C">
          <w:rPr>
            <w:webHidden/>
          </w:rPr>
          <w:t>55</w:t>
        </w:r>
        <w:r w:rsidR="00DC4EAC">
          <w:rPr>
            <w:webHidden/>
          </w:rPr>
          <w:fldChar w:fldCharType="end"/>
        </w:r>
      </w:hyperlink>
    </w:p>
    <w:p w14:paraId="1DE6CDFC" w14:textId="752AA212" w:rsidR="00DC4EAC" w:rsidRDefault="004079CD">
      <w:pPr>
        <w:pStyle w:val="TOC1"/>
        <w:rPr>
          <w:rFonts w:eastAsiaTheme="minorEastAsia" w:cstheme="minorBidi"/>
          <w:sz w:val="22"/>
          <w:szCs w:val="22"/>
        </w:rPr>
      </w:pPr>
      <w:hyperlink w:anchor="_Toc98921610" w:history="1">
        <w:r w:rsidR="00DC4EAC" w:rsidRPr="0064286D">
          <w:rPr>
            <w:rStyle w:val="Hyperlink"/>
          </w:rPr>
          <w:t>Part IV: Costs and Benefits</w:t>
        </w:r>
        <w:r w:rsidR="00DC4EAC">
          <w:rPr>
            <w:webHidden/>
          </w:rPr>
          <w:tab/>
        </w:r>
        <w:r w:rsidR="00DC4EAC">
          <w:rPr>
            <w:webHidden/>
          </w:rPr>
          <w:fldChar w:fldCharType="begin"/>
        </w:r>
        <w:r w:rsidR="00DC4EAC">
          <w:rPr>
            <w:webHidden/>
          </w:rPr>
          <w:instrText xml:space="preserve"> PAGEREF _Toc98921610 \h </w:instrText>
        </w:r>
        <w:r w:rsidR="00DC4EAC">
          <w:rPr>
            <w:webHidden/>
          </w:rPr>
        </w:r>
        <w:r w:rsidR="00DC4EAC">
          <w:rPr>
            <w:webHidden/>
          </w:rPr>
          <w:fldChar w:fldCharType="separate"/>
        </w:r>
        <w:r w:rsidR="0014273C">
          <w:rPr>
            <w:webHidden/>
          </w:rPr>
          <w:t>58</w:t>
        </w:r>
        <w:r w:rsidR="00DC4EAC">
          <w:rPr>
            <w:webHidden/>
          </w:rPr>
          <w:fldChar w:fldCharType="end"/>
        </w:r>
      </w:hyperlink>
    </w:p>
    <w:p w14:paraId="3A78EBFA" w14:textId="191A3542" w:rsidR="00DC4EAC" w:rsidRDefault="004079CD">
      <w:pPr>
        <w:pStyle w:val="TOC2"/>
        <w:rPr>
          <w:rFonts w:eastAsiaTheme="minorEastAsia" w:cstheme="minorBidi"/>
          <w:color w:val="auto"/>
          <w:sz w:val="22"/>
        </w:rPr>
      </w:pPr>
      <w:hyperlink w:anchor="_Toc98921611" w:history="1">
        <w:r w:rsidR="00DC4EAC" w:rsidRPr="0064286D">
          <w:rPr>
            <w:rStyle w:val="Hyperlink"/>
          </w:rPr>
          <w:t>Program Budget</w:t>
        </w:r>
        <w:r w:rsidR="00DC4EAC">
          <w:rPr>
            <w:webHidden/>
          </w:rPr>
          <w:tab/>
        </w:r>
        <w:r w:rsidR="00DC4EAC">
          <w:rPr>
            <w:webHidden/>
          </w:rPr>
          <w:fldChar w:fldCharType="begin"/>
        </w:r>
        <w:r w:rsidR="00DC4EAC">
          <w:rPr>
            <w:webHidden/>
          </w:rPr>
          <w:instrText xml:space="preserve"> PAGEREF _Toc98921611 \h </w:instrText>
        </w:r>
        <w:r w:rsidR="00DC4EAC">
          <w:rPr>
            <w:webHidden/>
          </w:rPr>
        </w:r>
        <w:r w:rsidR="00DC4EAC">
          <w:rPr>
            <w:webHidden/>
          </w:rPr>
          <w:fldChar w:fldCharType="separate"/>
        </w:r>
        <w:r w:rsidR="0014273C">
          <w:rPr>
            <w:webHidden/>
          </w:rPr>
          <w:t>58</w:t>
        </w:r>
        <w:r w:rsidR="00DC4EAC">
          <w:rPr>
            <w:webHidden/>
          </w:rPr>
          <w:fldChar w:fldCharType="end"/>
        </w:r>
      </w:hyperlink>
    </w:p>
    <w:p w14:paraId="4C01AED6" w14:textId="679C9E5C" w:rsidR="00DC4EAC" w:rsidRDefault="004079CD">
      <w:pPr>
        <w:pStyle w:val="TOC2"/>
        <w:rPr>
          <w:rFonts w:eastAsiaTheme="minorEastAsia" w:cstheme="minorBidi"/>
          <w:color w:val="auto"/>
          <w:sz w:val="22"/>
        </w:rPr>
      </w:pPr>
      <w:hyperlink w:anchor="_Toc98921612" w:history="1">
        <w:r w:rsidR="00DC4EAC" w:rsidRPr="0064286D">
          <w:rPr>
            <w:rStyle w:val="Hyperlink"/>
          </w:rPr>
          <w:t>Forecasted Benefits</w:t>
        </w:r>
        <w:r w:rsidR="00DC4EAC">
          <w:rPr>
            <w:webHidden/>
          </w:rPr>
          <w:tab/>
        </w:r>
        <w:r w:rsidR="00DC4EAC">
          <w:rPr>
            <w:webHidden/>
          </w:rPr>
          <w:fldChar w:fldCharType="begin"/>
        </w:r>
        <w:r w:rsidR="00DC4EAC">
          <w:rPr>
            <w:webHidden/>
          </w:rPr>
          <w:instrText xml:space="preserve"> PAGEREF _Toc98921612 \h </w:instrText>
        </w:r>
        <w:r w:rsidR="00DC4EAC">
          <w:rPr>
            <w:webHidden/>
          </w:rPr>
        </w:r>
        <w:r w:rsidR="00DC4EAC">
          <w:rPr>
            <w:webHidden/>
          </w:rPr>
          <w:fldChar w:fldCharType="separate"/>
        </w:r>
        <w:r w:rsidR="0014273C">
          <w:rPr>
            <w:webHidden/>
          </w:rPr>
          <w:t>59</w:t>
        </w:r>
        <w:r w:rsidR="00DC4EAC">
          <w:rPr>
            <w:webHidden/>
          </w:rPr>
          <w:fldChar w:fldCharType="end"/>
        </w:r>
      </w:hyperlink>
    </w:p>
    <w:p w14:paraId="779D197C" w14:textId="4945AAF4" w:rsidR="00DC4EAC" w:rsidRDefault="004079CD">
      <w:pPr>
        <w:pStyle w:val="TOC2"/>
        <w:rPr>
          <w:rFonts w:eastAsiaTheme="minorEastAsia" w:cstheme="minorBidi"/>
          <w:color w:val="auto"/>
          <w:sz w:val="22"/>
        </w:rPr>
      </w:pPr>
      <w:hyperlink w:anchor="_Toc98921613" w:history="1">
        <w:r w:rsidR="00DC4EAC" w:rsidRPr="0064286D">
          <w:rPr>
            <w:rStyle w:val="Hyperlink"/>
          </w:rPr>
          <w:t>Projected Participation</w:t>
        </w:r>
        <w:r w:rsidR="00DC4EAC">
          <w:rPr>
            <w:webHidden/>
          </w:rPr>
          <w:tab/>
        </w:r>
        <w:r w:rsidR="00DC4EAC">
          <w:rPr>
            <w:webHidden/>
          </w:rPr>
          <w:fldChar w:fldCharType="begin"/>
        </w:r>
        <w:r w:rsidR="00DC4EAC">
          <w:rPr>
            <w:webHidden/>
          </w:rPr>
          <w:instrText xml:space="preserve"> PAGEREF _Toc98921613 \h </w:instrText>
        </w:r>
        <w:r w:rsidR="00DC4EAC">
          <w:rPr>
            <w:webHidden/>
          </w:rPr>
        </w:r>
        <w:r w:rsidR="00DC4EAC">
          <w:rPr>
            <w:webHidden/>
          </w:rPr>
          <w:fldChar w:fldCharType="separate"/>
        </w:r>
        <w:r w:rsidR="0014273C">
          <w:rPr>
            <w:webHidden/>
          </w:rPr>
          <w:t>60</w:t>
        </w:r>
        <w:r w:rsidR="00DC4EAC">
          <w:rPr>
            <w:webHidden/>
          </w:rPr>
          <w:fldChar w:fldCharType="end"/>
        </w:r>
      </w:hyperlink>
    </w:p>
    <w:p w14:paraId="60E7B0C4" w14:textId="1E81B6AB" w:rsidR="00DC4EAC" w:rsidRDefault="004079CD">
      <w:pPr>
        <w:pStyle w:val="TOC2"/>
        <w:rPr>
          <w:rFonts w:eastAsiaTheme="minorEastAsia" w:cstheme="minorBidi"/>
          <w:color w:val="auto"/>
          <w:sz w:val="22"/>
        </w:rPr>
      </w:pPr>
      <w:hyperlink w:anchor="_Toc98921614" w:history="1">
        <w:r w:rsidR="00DC4EAC" w:rsidRPr="0064286D">
          <w:rPr>
            <w:rStyle w:val="Hyperlink"/>
          </w:rPr>
          <w:t>Program Time Frame</w:t>
        </w:r>
        <w:r w:rsidR="00DC4EAC">
          <w:rPr>
            <w:webHidden/>
          </w:rPr>
          <w:tab/>
        </w:r>
        <w:r w:rsidR="00DC4EAC">
          <w:rPr>
            <w:webHidden/>
          </w:rPr>
          <w:fldChar w:fldCharType="begin"/>
        </w:r>
        <w:r w:rsidR="00DC4EAC">
          <w:rPr>
            <w:webHidden/>
          </w:rPr>
          <w:instrText xml:space="preserve"> PAGEREF _Toc98921614 \h </w:instrText>
        </w:r>
        <w:r w:rsidR="00DC4EAC">
          <w:rPr>
            <w:webHidden/>
          </w:rPr>
        </w:r>
        <w:r w:rsidR="00DC4EAC">
          <w:rPr>
            <w:webHidden/>
          </w:rPr>
          <w:fldChar w:fldCharType="separate"/>
        </w:r>
        <w:r w:rsidR="0014273C">
          <w:rPr>
            <w:webHidden/>
          </w:rPr>
          <w:t>60</w:t>
        </w:r>
        <w:r w:rsidR="00DC4EAC">
          <w:rPr>
            <w:webHidden/>
          </w:rPr>
          <w:fldChar w:fldCharType="end"/>
        </w:r>
      </w:hyperlink>
    </w:p>
    <w:p w14:paraId="33753FD2" w14:textId="2B18FAED" w:rsidR="00DC4EAC" w:rsidRDefault="004079CD">
      <w:pPr>
        <w:pStyle w:val="TOC1"/>
        <w:rPr>
          <w:rFonts w:eastAsiaTheme="minorEastAsia" w:cstheme="minorBidi"/>
          <w:sz w:val="22"/>
          <w:szCs w:val="22"/>
        </w:rPr>
      </w:pPr>
      <w:hyperlink w:anchor="_Toc98921615" w:history="1">
        <w:r w:rsidR="00DC4EAC" w:rsidRPr="0064286D">
          <w:rPr>
            <w:rStyle w:val="Hyperlink"/>
          </w:rPr>
          <w:t>PART V: Reporting and Metrics</w:t>
        </w:r>
        <w:r w:rsidR="00DC4EAC">
          <w:rPr>
            <w:webHidden/>
          </w:rPr>
          <w:tab/>
        </w:r>
        <w:r w:rsidR="00DC4EAC">
          <w:rPr>
            <w:webHidden/>
          </w:rPr>
          <w:fldChar w:fldCharType="begin"/>
        </w:r>
        <w:r w:rsidR="00DC4EAC">
          <w:rPr>
            <w:webHidden/>
          </w:rPr>
          <w:instrText xml:space="preserve"> PAGEREF _Toc98921615 \h </w:instrText>
        </w:r>
        <w:r w:rsidR="00DC4EAC">
          <w:rPr>
            <w:webHidden/>
          </w:rPr>
        </w:r>
        <w:r w:rsidR="00DC4EAC">
          <w:rPr>
            <w:webHidden/>
          </w:rPr>
          <w:fldChar w:fldCharType="separate"/>
        </w:r>
        <w:r w:rsidR="0014273C">
          <w:rPr>
            <w:webHidden/>
          </w:rPr>
          <w:t>63</w:t>
        </w:r>
        <w:r w:rsidR="00DC4EAC">
          <w:rPr>
            <w:webHidden/>
          </w:rPr>
          <w:fldChar w:fldCharType="end"/>
        </w:r>
      </w:hyperlink>
    </w:p>
    <w:p w14:paraId="341E355B" w14:textId="7468F6C2" w:rsidR="00DC4EAC" w:rsidRDefault="004079CD">
      <w:pPr>
        <w:pStyle w:val="TOC2"/>
        <w:rPr>
          <w:rFonts w:eastAsiaTheme="minorEastAsia" w:cstheme="minorBidi"/>
          <w:color w:val="auto"/>
          <w:sz w:val="22"/>
        </w:rPr>
      </w:pPr>
      <w:hyperlink w:anchor="_Toc98921616" w:history="1">
        <w:r w:rsidR="00DC4EAC" w:rsidRPr="0064286D">
          <w:rPr>
            <w:rStyle w:val="Hyperlink"/>
          </w:rPr>
          <w:t>Metrics and Key Performance Indicators</w:t>
        </w:r>
        <w:r w:rsidR="00DC4EAC">
          <w:rPr>
            <w:webHidden/>
          </w:rPr>
          <w:tab/>
        </w:r>
        <w:r w:rsidR="00DC4EAC">
          <w:rPr>
            <w:webHidden/>
          </w:rPr>
          <w:fldChar w:fldCharType="begin"/>
        </w:r>
        <w:r w:rsidR="00DC4EAC">
          <w:rPr>
            <w:webHidden/>
          </w:rPr>
          <w:instrText xml:space="preserve"> PAGEREF _Toc98921616 \h </w:instrText>
        </w:r>
        <w:r w:rsidR="00DC4EAC">
          <w:rPr>
            <w:webHidden/>
          </w:rPr>
        </w:r>
        <w:r w:rsidR="00DC4EAC">
          <w:rPr>
            <w:webHidden/>
          </w:rPr>
          <w:fldChar w:fldCharType="separate"/>
        </w:r>
        <w:r w:rsidR="0014273C">
          <w:rPr>
            <w:webHidden/>
          </w:rPr>
          <w:t>63</w:t>
        </w:r>
        <w:r w:rsidR="00DC4EAC">
          <w:rPr>
            <w:webHidden/>
          </w:rPr>
          <w:fldChar w:fldCharType="end"/>
        </w:r>
      </w:hyperlink>
    </w:p>
    <w:p w14:paraId="05F1A447" w14:textId="225140EE" w:rsidR="00DC4EAC" w:rsidRDefault="004079CD">
      <w:pPr>
        <w:pStyle w:val="TOC2"/>
        <w:rPr>
          <w:rFonts w:eastAsiaTheme="minorEastAsia" w:cstheme="minorBidi"/>
          <w:color w:val="auto"/>
          <w:sz w:val="22"/>
        </w:rPr>
      </w:pPr>
      <w:hyperlink w:anchor="_Toc98921617" w:history="1">
        <w:r w:rsidR="00DC4EAC" w:rsidRPr="0064286D">
          <w:rPr>
            <w:rStyle w:val="Hyperlink"/>
          </w:rPr>
          <w:t>Schedule and Process for Tracking and Evaluating KPIs</w:t>
        </w:r>
        <w:r w:rsidR="00DC4EAC">
          <w:rPr>
            <w:webHidden/>
          </w:rPr>
          <w:tab/>
        </w:r>
        <w:r w:rsidR="00DC4EAC">
          <w:rPr>
            <w:webHidden/>
          </w:rPr>
          <w:fldChar w:fldCharType="begin"/>
        </w:r>
        <w:r w:rsidR="00DC4EAC">
          <w:rPr>
            <w:webHidden/>
          </w:rPr>
          <w:instrText xml:space="preserve"> PAGEREF _Toc98921617 \h </w:instrText>
        </w:r>
        <w:r w:rsidR="00DC4EAC">
          <w:rPr>
            <w:webHidden/>
          </w:rPr>
        </w:r>
        <w:r w:rsidR="00DC4EAC">
          <w:rPr>
            <w:webHidden/>
          </w:rPr>
          <w:fldChar w:fldCharType="separate"/>
        </w:r>
        <w:r w:rsidR="0014273C">
          <w:rPr>
            <w:webHidden/>
          </w:rPr>
          <w:t>66</w:t>
        </w:r>
        <w:r w:rsidR="00DC4EAC">
          <w:rPr>
            <w:webHidden/>
          </w:rPr>
          <w:fldChar w:fldCharType="end"/>
        </w:r>
      </w:hyperlink>
    </w:p>
    <w:p w14:paraId="2237DE75" w14:textId="5B9B23D1" w:rsidR="00DC4EAC" w:rsidRDefault="004079CD">
      <w:pPr>
        <w:pStyle w:val="TOC1"/>
        <w:rPr>
          <w:rFonts w:eastAsiaTheme="minorEastAsia" w:cstheme="minorBidi"/>
          <w:sz w:val="22"/>
          <w:szCs w:val="22"/>
        </w:rPr>
      </w:pPr>
      <w:hyperlink w:anchor="_Toc98921618" w:history="1">
        <w:r w:rsidR="00DC4EAC" w:rsidRPr="0064286D">
          <w:rPr>
            <w:rStyle w:val="Hyperlink"/>
          </w:rPr>
          <w:t>Part VI. Proposal Response to ACR Issues and Topics</w:t>
        </w:r>
        <w:r w:rsidR="00DC4EAC">
          <w:rPr>
            <w:webHidden/>
          </w:rPr>
          <w:tab/>
        </w:r>
        <w:r w:rsidR="00DC4EAC">
          <w:rPr>
            <w:webHidden/>
          </w:rPr>
          <w:fldChar w:fldCharType="begin"/>
        </w:r>
        <w:r w:rsidR="00DC4EAC">
          <w:rPr>
            <w:webHidden/>
          </w:rPr>
          <w:instrText xml:space="preserve"> PAGEREF _Toc98921618 \h </w:instrText>
        </w:r>
        <w:r w:rsidR="00DC4EAC">
          <w:rPr>
            <w:webHidden/>
          </w:rPr>
        </w:r>
        <w:r w:rsidR="00DC4EAC">
          <w:rPr>
            <w:webHidden/>
          </w:rPr>
          <w:fldChar w:fldCharType="separate"/>
        </w:r>
        <w:r w:rsidR="0014273C">
          <w:rPr>
            <w:webHidden/>
          </w:rPr>
          <w:t>67</w:t>
        </w:r>
        <w:r w:rsidR="00DC4EAC">
          <w:rPr>
            <w:webHidden/>
          </w:rPr>
          <w:fldChar w:fldCharType="end"/>
        </w:r>
      </w:hyperlink>
    </w:p>
    <w:p w14:paraId="08FA3A05" w14:textId="545DFDDA" w:rsidR="00487A3B" w:rsidRDefault="00B47AFD" w:rsidP="00B70F56">
      <w:r>
        <w:fldChar w:fldCharType="end"/>
      </w:r>
    </w:p>
    <w:p w14:paraId="1EB35529" w14:textId="1AF55A41" w:rsidR="00FC2AA7" w:rsidRPr="00916ED3" w:rsidRDefault="0007083C" w:rsidP="00916ED3">
      <w:pPr>
        <w:spacing w:before="0" w:after="0" w:line="240" w:lineRule="auto"/>
        <w:rPr>
          <w:rFonts w:ascii="Lato" w:hAnsi="Lato" w:cs="Segoe UI"/>
          <w:b/>
          <w:color w:val="6EB9BE"/>
          <w:sz w:val="28"/>
          <w:szCs w:val="28"/>
        </w:rPr>
      </w:pPr>
      <w:r>
        <w:rPr>
          <w:rFonts w:ascii="Lato" w:hAnsi="Lato" w:cs="Segoe UI"/>
          <w:b/>
          <w:bCs/>
          <w:color w:val="6EB9BE"/>
          <w:sz w:val="28"/>
          <w:szCs w:val="28"/>
        </w:rPr>
        <w:br w:type="page"/>
      </w:r>
    </w:p>
    <w:p w14:paraId="2B343FAB" w14:textId="3A202AB2" w:rsidR="003E6AF4" w:rsidRDefault="002A4A7E" w:rsidP="00D8489D">
      <w:pPr>
        <w:pStyle w:val="TOCHeading"/>
      </w:pPr>
      <w:r>
        <w:lastRenderedPageBreak/>
        <w:t>List of Abbreviations</w:t>
      </w:r>
    </w:p>
    <w:tbl>
      <w:tblPr>
        <w:tblStyle w:val="GridTable4-Accent1"/>
        <w:tblW w:w="0" w:type="auto"/>
        <w:tblLook w:val="04A0" w:firstRow="1" w:lastRow="0" w:firstColumn="1" w:lastColumn="0" w:noHBand="0" w:noVBand="1"/>
      </w:tblPr>
      <w:tblGrid>
        <w:gridCol w:w="2465"/>
        <w:gridCol w:w="6260"/>
      </w:tblGrid>
      <w:tr w:rsidR="00E1439B" w:rsidRPr="00F166D8" w14:paraId="020753B2" w14:textId="77777777" w:rsidTr="727BF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6DD7F58E" w14:textId="77777777" w:rsidR="00E1439B" w:rsidRPr="00F166D8" w:rsidRDefault="00E1439B" w:rsidP="008A37DA">
            <w:pPr>
              <w:pStyle w:val="TableColumnHeading"/>
            </w:pPr>
            <w:r>
              <w:t>TERM</w:t>
            </w:r>
          </w:p>
        </w:tc>
        <w:tc>
          <w:tcPr>
            <w:tcW w:w="6260" w:type="dxa"/>
          </w:tcPr>
          <w:p w14:paraId="10F42A4C" w14:textId="77777777" w:rsidR="00E1439B" w:rsidRPr="00F166D8" w:rsidRDefault="00E1439B" w:rsidP="008A37DA">
            <w:pPr>
              <w:pStyle w:val="TableColumnHeading"/>
              <w:cnfStyle w:val="100000000000" w:firstRow="1" w:lastRow="0" w:firstColumn="0" w:lastColumn="0" w:oddVBand="0" w:evenVBand="0" w:oddHBand="0" w:evenHBand="0" w:firstRowFirstColumn="0" w:firstRowLastColumn="0" w:lastRowFirstColumn="0" w:lastRowLastColumn="0"/>
            </w:pPr>
            <w:r>
              <w:t>DEFINITION</w:t>
            </w:r>
          </w:p>
        </w:tc>
      </w:tr>
      <w:tr w:rsidR="009C591A" w:rsidRPr="00F166D8" w14:paraId="70C30058"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571C8AFC" w14:textId="6EC24FE8" w:rsidR="009C591A" w:rsidRPr="009C591A" w:rsidRDefault="41C2CF4B" w:rsidP="008A37DA">
            <w:pPr>
              <w:pStyle w:val="TableText"/>
              <w:rPr>
                <w:rFonts w:eastAsia="Lato" w:cs="Arial"/>
                <w:b w:val="0"/>
                <w:bCs w:val="0"/>
              </w:rPr>
            </w:pPr>
            <w:r w:rsidRPr="727BFE15">
              <w:rPr>
                <w:rFonts w:eastAsia="Lato" w:cs="Arial"/>
                <w:b w:val="0"/>
                <w:bCs w:val="0"/>
              </w:rPr>
              <w:t>AC</w:t>
            </w:r>
          </w:p>
        </w:tc>
        <w:tc>
          <w:tcPr>
            <w:tcW w:w="6260" w:type="dxa"/>
          </w:tcPr>
          <w:p w14:paraId="7D0CD7E2" w14:textId="3EB44CF1" w:rsidR="009C591A" w:rsidRDefault="41C2CF4B"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sidRPr="727BFE15">
              <w:rPr>
                <w:rFonts w:eastAsia="Lato" w:cs="Arial"/>
              </w:rPr>
              <w:t>Air conditioning</w:t>
            </w:r>
          </w:p>
        </w:tc>
      </w:tr>
      <w:tr w:rsidR="009C591A" w:rsidRPr="00F166D8" w14:paraId="22962131"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5648E727" w14:textId="45C69DC6" w:rsidR="009C591A" w:rsidRPr="00664B03" w:rsidRDefault="41C2CF4B" w:rsidP="008A37DA">
            <w:pPr>
              <w:pStyle w:val="TableText"/>
              <w:rPr>
                <w:rFonts w:eastAsia="Lato" w:cs="Arial"/>
                <w:b w:val="0"/>
                <w:bCs w:val="0"/>
              </w:rPr>
            </w:pPr>
            <w:r w:rsidRPr="727BFE15">
              <w:rPr>
                <w:rFonts w:eastAsia="Lato" w:cs="Arial"/>
                <w:b w:val="0"/>
                <w:bCs w:val="0"/>
              </w:rPr>
              <w:t>ACR</w:t>
            </w:r>
          </w:p>
        </w:tc>
        <w:tc>
          <w:tcPr>
            <w:tcW w:w="6260" w:type="dxa"/>
          </w:tcPr>
          <w:p w14:paraId="45D8A09B" w14:textId="4DD94279" w:rsidR="009C591A" w:rsidRPr="00A16D9C" w:rsidRDefault="41C2CF4B"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sidRPr="727BFE15">
              <w:rPr>
                <w:rFonts w:eastAsia="Lato" w:cs="Arial"/>
              </w:rPr>
              <w:t>Assigned Commissioner’s Ruling (CPUC)</w:t>
            </w:r>
          </w:p>
        </w:tc>
      </w:tr>
      <w:tr w:rsidR="009C591A" w:rsidRPr="00F166D8" w14:paraId="35993307"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3DBF4709" w14:textId="07E986BD" w:rsidR="009C591A" w:rsidRPr="00664B03" w:rsidRDefault="41C2CF4B" w:rsidP="008A37DA">
            <w:pPr>
              <w:pStyle w:val="TableText"/>
              <w:rPr>
                <w:rFonts w:eastAsia="Lato" w:cs="Arial"/>
                <w:b w:val="0"/>
                <w:bCs w:val="0"/>
              </w:rPr>
            </w:pPr>
            <w:r w:rsidRPr="727BFE15">
              <w:rPr>
                <w:rFonts w:eastAsia="Lato" w:cs="Arial"/>
                <w:b w:val="0"/>
                <w:bCs w:val="0"/>
              </w:rPr>
              <w:t>AFUE</w:t>
            </w:r>
          </w:p>
        </w:tc>
        <w:tc>
          <w:tcPr>
            <w:tcW w:w="6260" w:type="dxa"/>
          </w:tcPr>
          <w:p w14:paraId="6E14F8C9" w14:textId="32B89FC7" w:rsidR="009C591A" w:rsidRPr="00A16D9C" w:rsidRDefault="41C2CF4B"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sidRPr="727BFE15">
              <w:rPr>
                <w:rFonts w:eastAsia="Lato" w:cs="Arial"/>
              </w:rPr>
              <w:t>Annual fuel utilization efficiency</w:t>
            </w:r>
          </w:p>
        </w:tc>
      </w:tr>
      <w:tr w:rsidR="00E1439B" w:rsidRPr="00F166D8" w14:paraId="2596B170"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E227BF9" w14:textId="77777777" w:rsidR="00E1439B" w:rsidRPr="0071709D" w:rsidRDefault="00E1439B" w:rsidP="008A37DA">
            <w:pPr>
              <w:pStyle w:val="TableText"/>
              <w:rPr>
                <w:rFonts w:eastAsia="Lato" w:cs="Arial"/>
                <w:b w:val="0"/>
                <w:bCs w:val="0"/>
              </w:rPr>
            </w:pPr>
            <w:r w:rsidRPr="0071709D">
              <w:rPr>
                <w:rFonts w:eastAsia="Lato" w:cs="Arial"/>
                <w:b w:val="0"/>
                <w:bCs w:val="0"/>
              </w:rPr>
              <w:t>AMI</w:t>
            </w:r>
          </w:p>
        </w:tc>
        <w:tc>
          <w:tcPr>
            <w:tcW w:w="6260" w:type="dxa"/>
          </w:tcPr>
          <w:p w14:paraId="3BFAF506" w14:textId="1782D837" w:rsidR="00E1439B" w:rsidRPr="00A16D9C" w:rsidRDefault="5E61C1D5"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sidRPr="727BFE15">
              <w:rPr>
                <w:rFonts w:eastAsia="Lato" w:cs="Arial"/>
              </w:rPr>
              <w:t xml:space="preserve">Advanced </w:t>
            </w:r>
            <w:r w:rsidR="0F2288F7" w:rsidRPr="727BFE15">
              <w:rPr>
                <w:rFonts w:eastAsia="Lato" w:cs="Arial"/>
              </w:rPr>
              <w:t>m</w:t>
            </w:r>
            <w:r w:rsidRPr="727BFE15">
              <w:rPr>
                <w:rFonts w:eastAsia="Lato" w:cs="Arial"/>
              </w:rPr>
              <w:t xml:space="preserve">etering </w:t>
            </w:r>
            <w:bookmarkStart w:id="5" w:name="_Int_VuVPMhnh"/>
            <w:r w:rsidR="0F2288F7" w:rsidRPr="727BFE15">
              <w:rPr>
                <w:rFonts w:eastAsia="Lato" w:cs="Arial"/>
              </w:rPr>
              <w:t>i</w:t>
            </w:r>
            <w:bookmarkStart w:id="6" w:name="_Int_RBb2UFSh"/>
            <w:bookmarkEnd w:id="5"/>
            <w:r w:rsidRPr="727BFE15">
              <w:rPr>
                <w:rFonts w:eastAsia="Lato" w:cs="Arial"/>
              </w:rPr>
              <w:t>nfrastructure</w:t>
            </w:r>
            <w:bookmarkEnd w:id="6"/>
            <w:r w:rsidRPr="727BFE15">
              <w:rPr>
                <w:rFonts w:eastAsia="Lato" w:cs="Arial"/>
              </w:rPr>
              <w:t xml:space="preserve"> </w:t>
            </w:r>
          </w:p>
        </w:tc>
      </w:tr>
      <w:tr w:rsidR="00E1439B" w:rsidRPr="00F166D8" w14:paraId="171FB17B" w14:textId="77777777" w:rsidTr="0010647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465" w:type="dxa"/>
          </w:tcPr>
          <w:p w14:paraId="3081EA08" w14:textId="77777777" w:rsidR="00E1439B" w:rsidRPr="009C591A" w:rsidRDefault="00E1439B" w:rsidP="008A37DA">
            <w:pPr>
              <w:pStyle w:val="TableText"/>
              <w:rPr>
                <w:rFonts w:cs="Arial"/>
                <w:b w:val="0"/>
                <w:bCs w:val="0"/>
              </w:rPr>
            </w:pPr>
            <w:r w:rsidRPr="009C591A">
              <w:rPr>
                <w:rFonts w:cs="Arial"/>
                <w:b w:val="0"/>
                <w:bCs w:val="0"/>
              </w:rPr>
              <w:t xml:space="preserve">BDC </w:t>
            </w:r>
          </w:p>
        </w:tc>
        <w:tc>
          <w:tcPr>
            <w:tcW w:w="6260" w:type="dxa"/>
          </w:tcPr>
          <w:p w14:paraId="02FBF62C" w14:textId="77777777" w:rsidR="00E1439B" w:rsidRPr="00A16D9C" w:rsidRDefault="00E1439B"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00A16D9C">
              <w:rPr>
                <w:rFonts w:cs="Arial"/>
              </w:rPr>
              <w:t xml:space="preserve">Building Decarbonization Coalition </w:t>
            </w:r>
          </w:p>
        </w:tc>
      </w:tr>
      <w:tr w:rsidR="005C6809" w:rsidRPr="00F166D8" w14:paraId="7B50A098"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21C80BA6" w14:textId="1385D65A" w:rsidR="005C6809" w:rsidRPr="005C6809" w:rsidRDefault="06E63198" w:rsidP="008A37DA">
            <w:pPr>
              <w:pStyle w:val="TableText"/>
              <w:rPr>
                <w:rFonts w:cs="Arial"/>
                <w:b w:val="0"/>
                <w:bCs w:val="0"/>
              </w:rPr>
            </w:pPr>
            <w:r w:rsidRPr="727BFE15">
              <w:rPr>
                <w:rFonts w:cs="Arial"/>
                <w:b w:val="0"/>
                <w:bCs w:val="0"/>
              </w:rPr>
              <w:t>CARE</w:t>
            </w:r>
          </w:p>
        </w:tc>
        <w:tc>
          <w:tcPr>
            <w:tcW w:w="6260" w:type="dxa"/>
          </w:tcPr>
          <w:p w14:paraId="1273B0C1" w14:textId="74A5656F" w:rsidR="005C6809" w:rsidRPr="00835182" w:rsidRDefault="06E63198"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California Alternative Rates for Energy</w:t>
            </w:r>
          </w:p>
        </w:tc>
      </w:tr>
      <w:tr w:rsidR="00AA1EC7" w:rsidRPr="00F166D8" w14:paraId="196EBB10"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1AE340E5" w14:textId="0ACF6027" w:rsidR="00AA1EC7" w:rsidRPr="0071709D" w:rsidRDefault="0FED0825" w:rsidP="008A37DA">
            <w:pPr>
              <w:pStyle w:val="TableText"/>
              <w:rPr>
                <w:rFonts w:cs="Arial"/>
                <w:b w:val="0"/>
                <w:bCs w:val="0"/>
              </w:rPr>
            </w:pPr>
            <w:r w:rsidRPr="727BFE15">
              <w:rPr>
                <w:rFonts w:cs="Arial"/>
                <w:b w:val="0"/>
                <w:bCs w:val="0"/>
              </w:rPr>
              <w:t>CBO</w:t>
            </w:r>
          </w:p>
        </w:tc>
        <w:tc>
          <w:tcPr>
            <w:tcW w:w="6260" w:type="dxa"/>
          </w:tcPr>
          <w:p w14:paraId="1B3D4AE4" w14:textId="2A7A0225" w:rsidR="00AA1EC7" w:rsidRDefault="0FED0825"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Community-based organization</w:t>
            </w:r>
          </w:p>
        </w:tc>
      </w:tr>
      <w:tr w:rsidR="00B07E8B" w:rsidRPr="00F166D8" w14:paraId="63F52D5F"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30383829" w14:textId="495C09E3" w:rsidR="00B07E8B" w:rsidRPr="0071709D" w:rsidRDefault="00B07E8B" w:rsidP="008A37DA">
            <w:pPr>
              <w:pStyle w:val="TableText"/>
              <w:rPr>
                <w:rFonts w:cs="Arial"/>
                <w:b w:val="0"/>
                <w:bCs w:val="0"/>
              </w:rPr>
            </w:pPr>
            <w:r w:rsidRPr="0071709D">
              <w:rPr>
                <w:rFonts w:cs="Arial"/>
                <w:b w:val="0"/>
                <w:bCs w:val="0"/>
              </w:rPr>
              <w:t>CCA</w:t>
            </w:r>
          </w:p>
        </w:tc>
        <w:tc>
          <w:tcPr>
            <w:tcW w:w="6260" w:type="dxa"/>
          </w:tcPr>
          <w:p w14:paraId="77CF3A1C" w14:textId="4029450D" w:rsidR="00B07E8B" w:rsidRPr="00A16D9C" w:rsidRDefault="00B07E8B"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Pr>
                <w:rFonts w:cs="Arial"/>
              </w:rPr>
              <w:t>Community Choice Aggregator</w:t>
            </w:r>
          </w:p>
        </w:tc>
      </w:tr>
      <w:tr w:rsidR="009C591A" w:rsidRPr="00F166D8" w14:paraId="7540FEE6"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55075D01" w14:textId="7A54A957" w:rsidR="009C591A" w:rsidRPr="00664B03" w:rsidRDefault="41C2CF4B" w:rsidP="008A37DA">
            <w:pPr>
              <w:pStyle w:val="TableText"/>
              <w:rPr>
                <w:rFonts w:cs="Arial"/>
                <w:b w:val="0"/>
                <w:bCs w:val="0"/>
              </w:rPr>
            </w:pPr>
            <w:r w:rsidRPr="727BFE15">
              <w:rPr>
                <w:rFonts w:cs="Arial"/>
                <w:b w:val="0"/>
                <w:bCs w:val="0"/>
              </w:rPr>
              <w:t>CEC</w:t>
            </w:r>
          </w:p>
        </w:tc>
        <w:tc>
          <w:tcPr>
            <w:tcW w:w="6260" w:type="dxa"/>
          </w:tcPr>
          <w:p w14:paraId="1687DD49" w14:textId="165CC4DE" w:rsidR="009C591A" w:rsidRPr="00A16D9C" w:rsidRDefault="41C2CF4B"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California Energy Commission</w:t>
            </w:r>
          </w:p>
        </w:tc>
      </w:tr>
      <w:tr w:rsidR="00FD7190" w:rsidRPr="00F166D8" w14:paraId="057754AF"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332A48E2" w14:textId="66B14872" w:rsidR="00FD7190" w:rsidRPr="0071709D" w:rsidRDefault="1C67DC6A" w:rsidP="008A37DA">
            <w:pPr>
              <w:pStyle w:val="TableText"/>
              <w:rPr>
                <w:rFonts w:cs="Arial"/>
                <w:b w:val="0"/>
                <w:bCs w:val="0"/>
              </w:rPr>
            </w:pPr>
            <w:r w:rsidRPr="727BFE15">
              <w:rPr>
                <w:rFonts w:cs="Arial"/>
                <w:b w:val="0"/>
                <w:bCs w:val="0"/>
              </w:rPr>
              <w:t>CEMs</w:t>
            </w:r>
          </w:p>
        </w:tc>
        <w:tc>
          <w:tcPr>
            <w:tcW w:w="6260" w:type="dxa"/>
          </w:tcPr>
          <w:p w14:paraId="783ADE84" w14:textId="1B66F2C3" w:rsidR="00FD7190" w:rsidRPr="00A16D9C" w:rsidRDefault="1C67DC6A"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Clean energy measures</w:t>
            </w:r>
          </w:p>
        </w:tc>
      </w:tr>
      <w:tr w:rsidR="00E1439B" w:rsidRPr="00F166D8" w14:paraId="0123B248"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786895D3" w14:textId="40EA2ECE" w:rsidR="00E1439B" w:rsidRPr="0071709D" w:rsidRDefault="00E1439B" w:rsidP="008A37DA">
            <w:pPr>
              <w:pStyle w:val="TableText"/>
              <w:rPr>
                <w:rFonts w:cs="Arial"/>
                <w:b w:val="0"/>
                <w:bCs w:val="0"/>
              </w:rPr>
            </w:pPr>
            <w:r w:rsidRPr="0071709D">
              <w:rPr>
                <w:rFonts w:cs="Arial"/>
                <w:b w:val="0"/>
                <w:bCs w:val="0"/>
              </w:rPr>
              <w:t>C</w:t>
            </w:r>
            <w:r w:rsidR="005B5143" w:rsidRPr="0071709D">
              <w:rPr>
                <w:rFonts w:cs="Arial"/>
                <w:b w:val="0"/>
                <w:bCs w:val="0"/>
              </w:rPr>
              <w:t>OP</w:t>
            </w:r>
            <w:r w:rsidRPr="0071709D">
              <w:rPr>
                <w:rFonts w:cs="Arial"/>
                <w:b w:val="0"/>
                <w:bCs w:val="0"/>
              </w:rPr>
              <w:t xml:space="preserve"> </w:t>
            </w:r>
          </w:p>
        </w:tc>
        <w:tc>
          <w:tcPr>
            <w:tcW w:w="6260" w:type="dxa"/>
          </w:tcPr>
          <w:p w14:paraId="5F48A661" w14:textId="0ECB4AC0" w:rsidR="00E1439B" w:rsidRPr="00A16D9C" w:rsidRDefault="5E61C1D5"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C</w:t>
            </w:r>
            <w:r w:rsidR="16EF25C9" w:rsidRPr="727BFE15">
              <w:rPr>
                <w:rFonts w:cs="Arial"/>
              </w:rPr>
              <w:t xml:space="preserve">oefficient of </w:t>
            </w:r>
            <w:r w:rsidR="5112E580" w:rsidRPr="727BFE15">
              <w:rPr>
                <w:rFonts w:cs="Arial"/>
              </w:rPr>
              <w:t>p</w:t>
            </w:r>
            <w:r w:rsidR="16EF25C9" w:rsidRPr="727BFE15">
              <w:rPr>
                <w:rFonts w:cs="Arial"/>
              </w:rPr>
              <w:t>erformance</w:t>
            </w:r>
          </w:p>
        </w:tc>
      </w:tr>
      <w:tr w:rsidR="00B07E8B" w:rsidRPr="00F166D8" w14:paraId="2F385D89"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4DEE18F" w14:textId="204CBB28" w:rsidR="00B07E8B" w:rsidRPr="009C591A" w:rsidRDefault="00B07E8B" w:rsidP="008A37DA">
            <w:pPr>
              <w:pStyle w:val="TableText"/>
              <w:rPr>
                <w:rFonts w:eastAsia="Lato" w:cs="Arial"/>
                <w:b w:val="0"/>
                <w:bCs w:val="0"/>
              </w:rPr>
            </w:pPr>
            <w:r w:rsidRPr="009C591A">
              <w:rPr>
                <w:rFonts w:eastAsia="Lato" w:cs="Arial"/>
                <w:b w:val="0"/>
                <w:bCs w:val="0"/>
              </w:rPr>
              <w:t>CPUC</w:t>
            </w:r>
          </w:p>
        </w:tc>
        <w:tc>
          <w:tcPr>
            <w:tcW w:w="6260" w:type="dxa"/>
          </w:tcPr>
          <w:p w14:paraId="55801F29" w14:textId="1A937930" w:rsidR="00B07E8B" w:rsidRPr="00A16D9C" w:rsidRDefault="00B07E8B"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Pr>
                <w:rFonts w:eastAsia="Lato" w:cs="Arial"/>
              </w:rPr>
              <w:t>California Public Utilities Commission</w:t>
            </w:r>
          </w:p>
        </w:tc>
      </w:tr>
      <w:tr w:rsidR="00E1439B" w:rsidRPr="00F166D8" w14:paraId="2239735A"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3D1CBCEE" w14:textId="77777777" w:rsidR="00E1439B" w:rsidRPr="009C591A" w:rsidRDefault="00E1439B" w:rsidP="008A37DA">
            <w:pPr>
              <w:pStyle w:val="TableText"/>
              <w:rPr>
                <w:rFonts w:eastAsia="Lato" w:cs="Arial"/>
                <w:b w:val="0"/>
                <w:bCs w:val="0"/>
              </w:rPr>
            </w:pPr>
            <w:r w:rsidRPr="009C591A">
              <w:rPr>
                <w:rFonts w:eastAsia="Lato" w:cs="Arial"/>
                <w:b w:val="0"/>
                <w:bCs w:val="0"/>
              </w:rPr>
              <w:t>DAC</w:t>
            </w:r>
          </w:p>
        </w:tc>
        <w:tc>
          <w:tcPr>
            <w:tcW w:w="6260" w:type="dxa"/>
          </w:tcPr>
          <w:p w14:paraId="1288B94D" w14:textId="564A1D54" w:rsidR="00E1439B" w:rsidRPr="00A16D9C" w:rsidRDefault="5E61C1D5"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sidRPr="727BFE15">
              <w:rPr>
                <w:rFonts w:eastAsia="Lato" w:cs="Arial"/>
              </w:rPr>
              <w:t xml:space="preserve">Disadvantaged </w:t>
            </w:r>
            <w:r w:rsidR="5112E580" w:rsidRPr="727BFE15">
              <w:rPr>
                <w:rFonts w:eastAsia="Lato" w:cs="Arial"/>
              </w:rPr>
              <w:t>c</w:t>
            </w:r>
            <w:r w:rsidRPr="727BFE15">
              <w:rPr>
                <w:rFonts w:eastAsia="Lato" w:cs="Arial"/>
              </w:rPr>
              <w:t xml:space="preserve">ommunity </w:t>
            </w:r>
          </w:p>
        </w:tc>
      </w:tr>
      <w:tr w:rsidR="009C591A" w:rsidRPr="00F166D8" w14:paraId="4919EFC6"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3C0CB2A1" w14:textId="2C4EDF03" w:rsidR="009C591A" w:rsidRPr="009C591A" w:rsidRDefault="41C2CF4B" w:rsidP="000544D5">
            <w:pPr>
              <w:pStyle w:val="TableText"/>
              <w:rPr>
                <w:rFonts w:cs="Arial"/>
                <w:b w:val="0"/>
                <w:bCs w:val="0"/>
              </w:rPr>
            </w:pPr>
            <w:r w:rsidRPr="727BFE15">
              <w:rPr>
                <w:rFonts w:cs="Arial"/>
                <w:b w:val="0"/>
                <w:bCs w:val="0"/>
              </w:rPr>
              <w:t>E</w:t>
            </w:r>
            <w:r w:rsidR="5F12EA3D" w:rsidRPr="727BFE15">
              <w:rPr>
                <w:rFonts w:cs="Arial"/>
                <w:b w:val="0"/>
                <w:bCs w:val="0"/>
              </w:rPr>
              <w:t>B</w:t>
            </w:r>
            <w:r w:rsidRPr="727BFE15">
              <w:rPr>
                <w:rFonts w:cs="Arial"/>
                <w:b w:val="0"/>
                <w:bCs w:val="0"/>
              </w:rPr>
              <w:t>CE</w:t>
            </w:r>
          </w:p>
        </w:tc>
        <w:tc>
          <w:tcPr>
            <w:tcW w:w="6260" w:type="dxa"/>
          </w:tcPr>
          <w:p w14:paraId="4E2DAB85" w14:textId="1C0C5D30" w:rsidR="009C591A" w:rsidRPr="00A16D9C" w:rsidRDefault="41C2CF4B" w:rsidP="000544D5">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 xml:space="preserve">East </w:t>
            </w:r>
            <w:r w:rsidR="5F12EA3D" w:rsidRPr="727BFE15">
              <w:rPr>
                <w:rFonts w:cs="Arial"/>
              </w:rPr>
              <w:t>Bay Community Energy</w:t>
            </w:r>
          </w:p>
        </w:tc>
      </w:tr>
      <w:tr w:rsidR="000544D5" w:rsidRPr="00F166D8" w14:paraId="7455BAD9"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47467473" w14:textId="47B88E5E" w:rsidR="000544D5" w:rsidRPr="009C591A" w:rsidRDefault="746E90B1" w:rsidP="000544D5">
            <w:pPr>
              <w:pStyle w:val="TableText"/>
              <w:rPr>
                <w:rFonts w:cs="Arial"/>
                <w:b w:val="0"/>
                <w:bCs w:val="0"/>
              </w:rPr>
            </w:pPr>
            <w:r w:rsidRPr="727BFE15">
              <w:rPr>
                <w:rFonts w:cs="Arial"/>
                <w:b w:val="0"/>
                <w:bCs w:val="0"/>
              </w:rPr>
              <w:t>EF</w:t>
            </w:r>
          </w:p>
        </w:tc>
        <w:tc>
          <w:tcPr>
            <w:tcW w:w="6260" w:type="dxa"/>
          </w:tcPr>
          <w:p w14:paraId="74EE4839" w14:textId="068BBE5F" w:rsidR="000544D5" w:rsidRPr="00A16D9C" w:rsidRDefault="746E90B1" w:rsidP="000544D5">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 xml:space="preserve">Energy </w:t>
            </w:r>
            <w:r w:rsidR="5112E580" w:rsidRPr="727BFE15">
              <w:rPr>
                <w:rFonts w:cs="Arial"/>
              </w:rPr>
              <w:t>f</w:t>
            </w:r>
            <w:r w:rsidRPr="727BFE15">
              <w:rPr>
                <w:rFonts w:cs="Arial"/>
              </w:rPr>
              <w:t>actor</w:t>
            </w:r>
          </w:p>
        </w:tc>
      </w:tr>
      <w:tr w:rsidR="00E1439B" w:rsidRPr="00F166D8" w14:paraId="4C48CE1F"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4F45CEF4" w14:textId="77777777" w:rsidR="00E1439B" w:rsidRPr="009C591A" w:rsidRDefault="00E1439B" w:rsidP="008A37DA">
            <w:pPr>
              <w:pStyle w:val="TableText"/>
              <w:rPr>
                <w:rFonts w:cs="Arial"/>
                <w:b w:val="0"/>
                <w:bCs w:val="0"/>
              </w:rPr>
            </w:pPr>
            <w:r w:rsidRPr="009C591A">
              <w:rPr>
                <w:rFonts w:cs="Arial"/>
                <w:b w:val="0"/>
                <w:bCs w:val="0"/>
              </w:rPr>
              <w:t xml:space="preserve">ESA </w:t>
            </w:r>
          </w:p>
        </w:tc>
        <w:tc>
          <w:tcPr>
            <w:tcW w:w="6260" w:type="dxa"/>
          </w:tcPr>
          <w:p w14:paraId="44214B0B" w14:textId="341B06D2" w:rsidR="00E1439B" w:rsidRPr="00A16D9C" w:rsidRDefault="5E61C1D5"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 xml:space="preserve">Energy </w:t>
            </w:r>
            <w:r w:rsidR="00E4431C">
              <w:rPr>
                <w:rFonts w:cs="Arial"/>
              </w:rPr>
              <w:t>S</w:t>
            </w:r>
            <w:r w:rsidRPr="727BFE15">
              <w:rPr>
                <w:rFonts w:cs="Arial"/>
              </w:rPr>
              <w:t xml:space="preserve">avings </w:t>
            </w:r>
            <w:r w:rsidR="00E4431C">
              <w:rPr>
                <w:rFonts w:cs="Arial"/>
              </w:rPr>
              <w:t>A</w:t>
            </w:r>
            <w:r w:rsidRPr="727BFE15">
              <w:rPr>
                <w:rFonts w:cs="Arial"/>
              </w:rPr>
              <w:t>ssistance</w:t>
            </w:r>
            <w:r w:rsidR="7DEBAEE6" w:rsidRPr="727BFE15">
              <w:rPr>
                <w:rFonts w:cs="Arial"/>
              </w:rPr>
              <w:t xml:space="preserve"> (</w:t>
            </w:r>
            <w:r w:rsidR="02DDD305" w:rsidRPr="727BFE15">
              <w:rPr>
                <w:rFonts w:cs="Arial"/>
              </w:rPr>
              <w:t xml:space="preserve">a </w:t>
            </w:r>
            <w:r w:rsidR="00E4431C">
              <w:rPr>
                <w:rFonts w:cs="Arial"/>
              </w:rPr>
              <w:t>utility program</w:t>
            </w:r>
            <w:r w:rsidR="7DEBAEE6" w:rsidRPr="727BFE15">
              <w:rPr>
                <w:rFonts w:cs="Arial"/>
              </w:rPr>
              <w:t>)</w:t>
            </w:r>
            <w:r w:rsidRPr="727BFE15">
              <w:rPr>
                <w:rFonts w:cs="Arial"/>
              </w:rPr>
              <w:t xml:space="preserve"> </w:t>
            </w:r>
          </w:p>
        </w:tc>
      </w:tr>
      <w:tr w:rsidR="005355DA" w:rsidRPr="00F166D8" w14:paraId="2D0E100F"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4AD66AA4" w14:textId="7560A22E" w:rsidR="005355DA" w:rsidRPr="009C591A" w:rsidRDefault="005355DA" w:rsidP="008A37DA">
            <w:pPr>
              <w:pStyle w:val="TableText"/>
              <w:rPr>
                <w:rFonts w:cs="Arial"/>
                <w:b w:val="0"/>
                <w:bCs w:val="0"/>
              </w:rPr>
            </w:pPr>
            <w:r w:rsidRPr="009C591A">
              <w:rPr>
                <w:rFonts w:cs="Arial"/>
                <w:b w:val="0"/>
                <w:bCs w:val="0"/>
              </w:rPr>
              <w:t>ESJ</w:t>
            </w:r>
          </w:p>
        </w:tc>
        <w:tc>
          <w:tcPr>
            <w:tcW w:w="6260" w:type="dxa"/>
          </w:tcPr>
          <w:p w14:paraId="1EC60081" w14:textId="733E6BA0" w:rsidR="005355DA" w:rsidRDefault="3C978D4C"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 xml:space="preserve">Environmental and </w:t>
            </w:r>
            <w:r w:rsidR="5112E580" w:rsidRPr="727BFE15">
              <w:rPr>
                <w:rFonts w:cs="Arial"/>
              </w:rPr>
              <w:t>s</w:t>
            </w:r>
            <w:r w:rsidRPr="727BFE15">
              <w:rPr>
                <w:rFonts w:cs="Arial"/>
              </w:rPr>
              <w:t xml:space="preserve">ocial </w:t>
            </w:r>
            <w:r w:rsidR="5112E580" w:rsidRPr="727BFE15">
              <w:rPr>
                <w:rFonts w:cs="Arial"/>
              </w:rPr>
              <w:t>j</w:t>
            </w:r>
            <w:r w:rsidRPr="727BFE15">
              <w:rPr>
                <w:rFonts w:cs="Arial"/>
              </w:rPr>
              <w:t>ustice</w:t>
            </w:r>
          </w:p>
        </w:tc>
      </w:tr>
      <w:tr w:rsidR="000A5A42" w:rsidRPr="00926887" w14:paraId="418C0A75"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49A1EE2C" w14:textId="42B71F12" w:rsidR="000A5A42" w:rsidRPr="00926887" w:rsidRDefault="22205259" w:rsidP="008A37DA">
            <w:pPr>
              <w:pStyle w:val="TableText"/>
              <w:rPr>
                <w:rFonts w:cs="Arial"/>
                <w:b w:val="0"/>
                <w:bCs w:val="0"/>
              </w:rPr>
            </w:pPr>
            <w:r w:rsidRPr="727BFE15">
              <w:rPr>
                <w:rFonts w:cs="Arial"/>
                <w:b w:val="0"/>
                <w:bCs w:val="0"/>
              </w:rPr>
              <w:t>FERA</w:t>
            </w:r>
          </w:p>
        </w:tc>
        <w:tc>
          <w:tcPr>
            <w:tcW w:w="6260" w:type="dxa"/>
          </w:tcPr>
          <w:p w14:paraId="643ADF0E" w14:textId="402C91D0" w:rsidR="000A5A42" w:rsidRPr="00926887" w:rsidRDefault="22205259"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Family Energy Rate Assistance (a utility program)</w:t>
            </w:r>
          </w:p>
        </w:tc>
      </w:tr>
      <w:tr w:rsidR="00E1439B" w:rsidRPr="00F166D8" w14:paraId="1BE20F26"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20184F09" w14:textId="6DC91389" w:rsidR="00E1439B" w:rsidRPr="009C591A" w:rsidRDefault="0099060D" w:rsidP="008A37DA">
            <w:pPr>
              <w:pStyle w:val="TableText"/>
              <w:rPr>
                <w:rFonts w:cs="Arial"/>
                <w:b w:val="0"/>
                <w:bCs w:val="0"/>
              </w:rPr>
            </w:pPr>
            <w:r w:rsidRPr="009C591A">
              <w:rPr>
                <w:rFonts w:cs="Arial"/>
                <w:b w:val="0"/>
                <w:bCs w:val="0"/>
              </w:rPr>
              <w:t>GGRF</w:t>
            </w:r>
          </w:p>
        </w:tc>
        <w:tc>
          <w:tcPr>
            <w:tcW w:w="6260" w:type="dxa"/>
          </w:tcPr>
          <w:p w14:paraId="5F9CC297" w14:textId="7EBD8B7D" w:rsidR="00E1439B" w:rsidRPr="00A16D9C" w:rsidRDefault="16EF25C9"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Greenhouse Gas Reduction Fund</w:t>
            </w:r>
            <w:r w:rsidR="4785DADD" w:rsidRPr="727BFE15">
              <w:rPr>
                <w:rFonts w:cs="Arial"/>
              </w:rPr>
              <w:t xml:space="preserve"> (a California program)</w:t>
            </w:r>
          </w:p>
        </w:tc>
      </w:tr>
      <w:tr w:rsidR="00E1439B" w:rsidRPr="00F166D8" w14:paraId="7BB2AAA6"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4A6BD4AF" w14:textId="77777777" w:rsidR="00E1439B" w:rsidRPr="009C591A" w:rsidRDefault="00E1439B" w:rsidP="008A37DA">
            <w:pPr>
              <w:pStyle w:val="TableText"/>
              <w:rPr>
                <w:rFonts w:eastAsia="Lato" w:cs="Arial"/>
                <w:b w:val="0"/>
                <w:bCs w:val="0"/>
              </w:rPr>
            </w:pPr>
            <w:r w:rsidRPr="009C591A">
              <w:rPr>
                <w:rFonts w:eastAsia="Lato" w:cs="Arial"/>
                <w:b w:val="0"/>
                <w:bCs w:val="0"/>
              </w:rPr>
              <w:t>GHG</w:t>
            </w:r>
          </w:p>
        </w:tc>
        <w:tc>
          <w:tcPr>
            <w:tcW w:w="6260" w:type="dxa"/>
          </w:tcPr>
          <w:p w14:paraId="25CB1A0A" w14:textId="531678B8" w:rsidR="00E1439B" w:rsidRPr="00A16D9C" w:rsidRDefault="5E61C1D5"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sidRPr="727BFE15">
              <w:rPr>
                <w:rFonts w:eastAsia="Lato" w:cs="Arial"/>
              </w:rPr>
              <w:t xml:space="preserve">Greenhouse </w:t>
            </w:r>
            <w:r w:rsidR="5112E580" w:rsidRPr="727BFE15">
              <w:rPr>
                <w:rFonts w:eastAsia="Lato" w:cs="Arial"/>
              </w:rPr>
              <w:t>g</w:t>
            </w:r>
            <w:r w:rsidRPr="727BFE15">
              <w:rPr>
                <w:rFonts w:eastAsia="Lato" w:cs="Arial"/>
              </w:rPr>
              <w:t>as</w:t>
            </w:r>
            <w:r w:rsidR="5112E580" w:rsidRPr="727BFE15">
              <w:rPr>
                <w:rFonts w:eastAsia="Lato" w:cs="Arial"/>
              </w:rPr>
              <w:t>(s)</w:t>
            </w:r>
            <w:r w:rsidRPr="727BFE15">
              <w:rPr>
                <w:rFonts w:eastAsia="Lato" w:cs="Arial"/>
              </w:rPr>
              <w:t xml:space="preserve"> </w:t>
            </w:r>
          </w:p>
        </w:tc>
      </w:tr>
      <w:tr w:rsidR="00E1439B" w:rsidRPr="00F166D8" w14:paraId="6E844730"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3999A003" w14:textId="77777777" w:rsidR="00E1439B" w:rsidRPr="009C591A" w:rsidRDefault="00E1439B" w:rsidP="008A37DA">
            <w:pPr>
              <w:pStyle w:val="TableText"/>
              <w:rPr>
                <w:rFonts w:eastAsia="Lato" w:cs="Arial"/>
                <w:b w:val="0"/>
                <w:bCs w:val="0"/>
              </w:rPr>
            </w:pPr>
            <w:r w:rsidRPr="009C591A">
              <w:rPr>
                <w:rFonts w:eastAsia="Lato" w:cs="Arial"/>
                <w:b w:val="0"/>
                <w:bCs w:val="0"/>
              </w:rPr>
              <w:t xml:space="preserve">HP HVAC </w:t>
            </w:r>
          </w:p>
        </w:tc>
        <w:tc>
          <w:tcPr>
            <w:tcW w:w="6260" w:type="dxa"/>
          </w:tcPr>
          <w:p w14:paraId="559C76BE" w14:textId="0BA17E52" w:rsidR="00E1439B" w:rsidRPr="00A16D9C" w:rsidRDefault="5E61C1D5"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sidRPr="727BFE15">
              <w:rPr>
                <w:rFonts w:eastAsia="Lato" w:cs="Arial"/>
              </w:rPr>
              <w:t xml:space="preserve">Heat </w:t>
            </w:r>
            <w:r w:rsidR="5112E580" w:rsidRPr="727BFE15">
              <w:rPr>
                <w:rFonts w:eastAsia="Lato" w:cs="Arial"/>
              </w:rPr>
              <w:t>p</w:t>
            </w:r>
            <w:r w:rsidRPr="727BFE15">
              <w:rPr>
                <w:rFonts w:eastAsia="Lato" w:cs="Arial"/>
              </w:rPr>
              <w:t xml:space="preserve">ump </w:t>
            </w:r>
            <w:r w:rsidR="5112E580" w:rsidRPr="727BFE15">
              <w:rPr>
                <w:rFonts w:eastAsia="Lato" w:cs="Arial"/>
              </w:rPr>
              <w:t>s</w:t>
            </w:r>
            <w:r w:rsidRPr="727BFE15">
              <w:rPr>
                <w:rFonts w:eastAsia="Lato" w:cs="Arial"/>
              </w:rPr>
              <w:t xml:space="preserve">pace </w:t>
            </w:r>
            <w:r w:rsidR="5112E580" w:rsidRPr="727BFE15">
              <w:rPr>
                <w:rFonts w:eastAsia="Lato" w:cs="Arial"/>
              </w:rPr>
              <w:t>h</w:t>
            </w:r>
            <w:r w:rsidRPr="727BFE15">
              <w:rPr>
                <w:rFonts w:eastAsia="Lato" w:cs="Arial"/>
              </w:rPr>
              <w:t xml:space="preserve">eater </w:t>
            </w:r>
          </w:p>
        </w:tc>
      </w:tr>
      <w:tr w:rsidR="00E1439B" w:rsidRPr="00F166D8" w14:paraId="3DEB3457"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3ABF96B" w14:textId="77777777" w:rsidR="00E1439B" w:rsidRPr="009C591A" w:rsidRDefault="00E1439B" w:rsidP="008A37DA">
            <w:pPr>
              <w:pStyle w:val="TableText"/>
              <w:rPr>
                <w:rFonts w:eastAsia="Lato" w:cs="Arial"/>
                <w:b w:val="0"/>
                <w:bCs w:val="0"/>
              </w:rPr>
            </w:pPr>
            <w:r w:rsidRPr="009C591A">
              <w:rPr>
                <w:rFonts w:eastAsia="Lato" w:cs="Arial"/>
                <w:b w:val="0"/>
                <w:bCs w:val="0"/>
              </w:rPr>
              <w:t xml:space="preserve">HPWH </w:t>
            </w:r>
          </w:p>
        </w:tc>
        <w:tc>
          <w:tcPr>
            <w:tcW w:w="6260" w:type="dxa"/>
          </w:tcPr>
          <w:p w14:paraId="578C56CF" w14:textId="55A0BBFF" w:rsidR="00E1439B" w:rsidRPr="00A16D9C" w:rsidRDefault="5E61C1D5"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sidRPr="727BFE15">
              <w:rPr>
                <w:rFonts w:eastAsia="Lato" w:cs="Arial"/>
              </w:rPr>
              <w:t xml:space="preserve">Heat </w:t>
            </w:r>
            <w:r w:rsidR="5112E580" w:rsidRPr="727BFE15">
              <w:rPr>
                <w:rFonts w:eastAsia="Lato" w:cs="Arial"/>
              </w:rPr>
              <w:t>p</w:t>
            </w:r>
            <w:r w:rsidRPr="727BFE15">
              <w:rPr>
                <w:rFonts w:eastAsia="Lato" w:cs="Arial"/>
              </w:rPr>
              <w:t xml:space="preserve">ump </w:t>
            </w:r>
            <w:r w:rsidR="5112E580" w:rsidRPr="727BFE15">
              <w:rPr>
                <w:rFonts w:eastAsia="Lato" w:cs="Arial"/>
              </w:rPr>
              <w:t>w</w:t>
            </w:r>
            <w:r w:rsidRPr="727BFE15">
              <w:rPr>
                <w:rFonts w:eastAsia="Lato" w:cs="Arial"/>
              </w:rPr>
              <w:t xml:space="preserve">ater </w:t>
            </w:r>
            <w:r w:rsidR="5112E580" w:rsidRPr="727BFE15">
              <w:rPr>
                <w:rFonts w:eastAsia="Lato" w:cs="Arial"/>
              </w:rPr>
              <w:t>h</w:t>
            </w:r>
            <w:r w:rsidRPr="727BFE15">
              <w:rPr>
                <w:rFonts w:eastAsia="Lato" w:cs="Arial"/>
              </w:rPr>
              <w:t xml:space="preserve">eater </w:t>
            </w:r>
          </w:p>
        </w:tc>
      </w:tr>
      <w:tr w:rsidR="003D152A" w:rsidRPr="00F166D8" w14:paraId="57C7D02A"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74239969" w14:textId="4E495F79" w:rsidR="003D152A" w:rsidRPr="003D152A" w:rsidRDefault="5F12EA3D" w:rsidP="008A37DA">
            <w:pPr>
              <w:pStyle w:val="TableText"/>
              <w:rPr>
                <w:rFonts w:eastAsia="Lato" w:cs="Arial"/>
                <w:b w:val="0"/>
                <w:bCs w:val="0"/>
              </w:rPr>
            </w:pPr>
            <w:r w:rsidRPr="727BFE15">
              <w:rPr>
                <w:rFonts w:eastAsia="Lato" w:cs="Arial"/>
                <w:b w:val="0"/>
                <w:bCs w:val="0"/>
              </w:rPr>
              <w:t>HSPF</w:t>
            </w:r>
          </w:p>
        </w:tc>
        <w:tc>
          <w:tcPr>
            <w:tcW w:w="6260" w:type="dxa"/>
          </w:tcPr>
          <w:p w14:paraId="14C15432" w14:textId="0347FDC5" w:rsidR="003D152A" w:rsidRPr="00A16D9C" w:rsidRDefault="5F12EA3D"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sidRPr="727BFE15">
              <w:rPr>
                <w:rFonts w:eastAsia="Lato" w:cs="Arial"/>
              </w:rPr>
              <w:t>Heating seasonal performance factor</w:t>
            </w:r>
          </w:p>
        </w:tc>
      </w:tr>
      <w:tr w:rsidR="00E1439B" w:rsidRPr="00F166D8" w14:paraId="12396AB2"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99BC49F" w14:textId="77777777" w:rsidR="00E1439B" w:rsidRPr="009C591A" w:rsidRDefault="00E1439B" w:rsidP="008A37DA">
            <w:pPr>
              <w:pStyle w:val="TableText"/>
              <w:rPr>
                <w:rFonts w:eastAsia="Lato" w:cs="Arial"/>
                <w:b w:val="0"/>
                <w:bCs w:val="0"/>
              </w:rPr>
            </w:pPr>
            <w:r w:rsidRPr="009C591A">
              <w:rPr>
                <w:rFonts w:eastAsia="Lato" w:cs="Arial"/>
                <w:b w:val="0"/>
                <w:bCs w:val="0"/>
              </w:rPr>
              <w:t xml:space="preserve">HTR   </w:t>
            </w:r>
          </w:p>
        </w:tc>
        <w:tc>
          <w:tcPr>
            <w:tcW w:w="6260" w:type="dxa"/>
          </w:tcPr>
          <w:p w14:paraId="17D2EF77" w14:textId="10658014" w:rsidR="00E1439B" w:rsidRPr="00A16D9C" w:rsidRDefault="5E61C1D5"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sidRPr="727BFE15">
              <w:rPr>
                <w:rFonts w:eastAsia="Lato" w:cs="Arial"/>
              </w:rPr>
              <w:t>Hard-to</w:t>
            </w:r>
            <w:r w:rsidR="5112E580" w:rsidRPr="727BFE15">
              <w:rPr>
                <w:rFonts w:eastAsia="Lato" w:cs="Arial"/>
              </w:rPr>
              <w:t>-r</w:t>
            </w:r>
            <w:r w:rsidRPr="727BFE15">
              <w:rPr>
                <w:rFonts w:eastAsia="Lato" w:cs="Arial"/>
              </w:rPr>
              <w:t>each</w:t>
            </w:r>
          </w:p>
        </w:tc>
      </w:tr>
      <w:tr w:rsidR="00B07E8B" w:rsidRPr="00F166D8" w14:paraId="210BCC89"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4A93D098" w14:textId="2CA1CF21" w:rsidR="00B07E8B" w:rsidRPr="009C591A" w:rsidRDefault="00B07E8B" w:rsidP="008A37DA">
            <w:pPr>
              <w:pStyle w:val="TableText"/>
              <w:rPr>
                <w:rFonts w:cs="Arial"/>
                <w:b w:val="0"/>
                <w:bCs w:val="0"/>
              </w:rPr>
            </w:pPr>
            <w:r w:rsidRPr="009C591A">
              <w:rPr>
                <w:rFonts w:cs="Arial"/>
                <w:b w:val="0"/>
                <w:bCs w:val="0"/>
              </w:rPr>
              <w:t>IOU</w:t>
            </w:r>
          </w:p>
        </w:tc>
        <w:tc>
          <w:tcPr>
            <w:tcW w:w="6260" w:type="dxa"/>
          </w:tcPr>
          <w:p w14:paraId="23B63B40" w14:textId="54722114" w:rsidR="00B07E8B" w:rsidRDefault="5C60CD87"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 xml:space="preserve">Investor-owned </w:t>
            </w:r>
            <w:r w:rsidR="5322A1BB" w:rsidRPr="727BFE15">
              <w:rPr>
                <w:rFonts w:cs="Arial"/>
              </w:rPr>
              <w:t>u</w:t>
            </w:r>
            <w:r w:rsidRPr="727BFE15">
              <w:rPr>
                <w:rFonts w:cs="Arial"/>
              </w:rPr>
              <w:t>tility</w:t>
            </w:r>
          </w:p>
        </w:tc>
      </w:tr>
      <w:tr w:rsidR="000A4319" w:rsidRPr="00F166D8" w14:paraId="7EC49DFC"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43F53D4" w14:textId="1EC05A9D" w:rsidR="000A4319" w:rsidRPr="009C591A" w:rsidRDefault="000A4319" w:rsidP="008A37DA">
            <w:pPr>
              <w:pStyle w:val="TableText"/>
              <w:rPr>
                <w:rFonts w:cs="Arial"/>
                <w:b w:val="0"/>
                <w:bCs w:val="0"/>
              </w:rPr>
            </w:pPr>
            <w:r w:rsidRPr="009C591A">
              <w:rPr>
                <w:rFonts w:cs="Arial"/>
                <w:b w:val="0"/>
                <w:bCs w:val="0"/>
              </w:rPr>
              <w:t>KPI</w:t>
            </w:r>
          </w:p>
        </w:tc>
        <w:tc>
          <w:tcPr>
            <w:tcW w:w="6260" w:type="dxa"/>
          </w:tcPr>
          <w:p w14:paraId="6C7FD2BD" w14:textId="76E5C010" w:rsidR="000A4319" w:rsidRDefault="636388D6"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 xml:space="preserve">Key </w:t>
            </w:r>
            <w:r w:rsidR="35C18C8B" w:rsidRPr="727BFE15">
              <w:rPr>
                <w:rFonts w:cs="Arial"/>
              </w:rPr>
              <w:t>p</w:t>
            </w:r>
            <w:r w:rsidRPr="727BFE15">
              <w:rPr>
                <w:rFonts w:cs="Arial"/>
              </w:rPr>
              <w:t xml:space="preserve">erformance </w:t>
            </w:r>
            <w:r w:rsidR="35C18C8B" w:rsidRPr="727BFE15">
              <w:rPr>
                <w:rFonts w:cs="Arial"/>
              </w:rPr>
              <w:t>i</w:t>
            </w:r>
            <w:r w:rsidRPr="727BFE15">
              <w:rPr>
                <w:rFonts w:cs="Arial"/>
              </w:rPr>
              <w:t>ndicator</w:t>
            </w:r>
          </w:p>
        </w:tc>
      </w:tr>
      <w:tr w:rsidR="003D152A" w:rsidRPr="00F166D8" w14:paraId="2C11B857"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123BD9F3" w14:textId="411FB780" w:rsidR="003D152A" w:rsidRPr="003D152A" w:rsidRDefault="5F12EA3D" w:rsidP="008A37DA">
            <w:pPr>
              <w:pStyle w:val="TableText"/>
              <w:rPr>
                <w:rFonts w:cs="Arial"/>
                <w:b w:val="0"/>
                <w:bCs w:val="0"/>
              </w:rPr>
            </w:pPr>
            <w:r w:rsidRPr="727BFE15">
              <w:rPr>
                <w:rFonts w:cs="Arial"/>
                <w:b w:val="0"/>
                <w:bCs w:val="0"/>
              </w:rPr>
              <w:t>LMI</w:t>
            </w:r>
          </w:p>
        </w:tc>
        <w:tc>
          <w:tcPr>
            <w:tcW w:w="6260" w:type="dxa"/>
          </w:tcPr>
          <w:p w14:paraId="1D24E92A" w14:textId="1DA7797A" w:rsidR="003D152A" w:rsidRDefault="5F12EA3D"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Low- to moderate-income</w:t>
            </w:r>
          </w:p>
        </w:tc>
      </w:tr>
      <w:tr w:rsidR="00B07E8B" w:rsidRPr="00F166D8" w14:paraId="06819959"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5B6A364C" w14:textId="23C7ED71" w:rsidR="00B07E8B" w:rsidRPr="009C591A" w:rsidRDefault="00B07E8B" w:rsidP="008A37DA">
            <w:pPr>
              <w:pStyle w:val="TableText"/>
              <w:rPr>
                <w:rFonts w:cs="Arial"/>
                <w:b w:val="0"/>
                <w:bCs w:val="0"/>
              </w:rPr>
            </w:pPr>
            <w:r w:rsidRPr="009C591A">
              <w:rPr>
                <w:rFonts w:cs="Arial"/>
                <w:b w:val="0"/>
                <w:bCs w:val="0"/>
              </w:rPr>
              <w:t>LSE</w:t>
            </w:r>
          </w:p>
        </w:tc>
        <w:tc>
          <w:tcPr>
            <w:tcW w:w="6260" w:type="dxa"/>
          </w:tcPr>
          <w:p w14:paraId="14B1DD40" w14:textId="19DD687A" w:rsidR="00B07E8B" w:rsidRPr="00A16D9C" w:rsidRDefault="5C60CD87"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Load</w:t>
            </w:r>
            <w:r w:rsidR="5322A1BB" w:rsidRPr="727BFE15">
              <w:rPr>
                <w:rFonts w:cs="Arial"/>
              </w:rPr>
              <w:t>-s</w:t>
            </w:r>
            <w:r w:rsidRPr="727BFE15">
              <w:rPr>
                <w:rFonts w:cs="Arial"/>
              </w:rPr>
              <w:t xml:space="preserve">erving </w:t>
            </w:r>
            <w:r w:rsidR="5322A1BB" w:rsidRPr="727BFE15">
              <w:rPr>
                <w:rFonts w:cs="Arial"/>
              </w:rPr>
              <w:t>e</w:t>
            </w:r>
            <w:r w:rsidRPr="727BFE15">
              <w:rPr>
                <w:rFonts w:cs="Arial"/>
              </w:rPr>
              <w:t>ntity</w:t>
            </w:r>
          </w:p>
        </w:tc>
      </w:tr>
      <w:tr w:rsidR="00D656FB" w:rsidRPr="00F166D8" w14:paraId="067F10C2"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6EB1D1CA" w14:textId="62587AB2" w:rsidR="00D656FB" w:rsidRPr="00D656FB" w:rsidRDefault="274EAD5F" w:rsidP="008A37DA">
            <w:pPr>
              <w:pStyle w:val="TableText"/>
              <w:rPr>
                <w:rFonts w:cs="Arial"/>
                <w:b w:val="0"/>
                <w:bCs w:val="0"/>
              </w:rPr>
            </w:pPr>
            <w:r w:rsidRPr="727BFE15">
              <w:rPr>
                <w:rFonts w:cs="Arial"/>
                <w:b w:val="0"/>
                <w:bCs w:val="0"/>
              </w:rPr>
              <w:t>MF</w:t>
            </w:r>
          </w:p>
        </w:tc>
        <w:tc>
          <w:tcPr>
            <w:tcW w:w="6260" w:type="dxa"/>
          </w:tcPr>
          <w:p w14:paraId="36CA35CF" w14:textId="6990D351" w:rsidR="00D656FB" w:rsidRPr="00A16D9C" w:rsidRDefault="274EAD5F"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Multifamily</w:t>
            </w:r>
          </w:p>
        </w:tc>
      </w:tr>
      <w:tr w:rsidR="00E1708D" w:rsidRPr="00F166D8" w14:paraId="12DB4E80"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21D2C3B" w14:textId="000FB88E" w:rsidR="00E1708D" w:rsidRPr="00E1708D" w:rsidRDefault="2DBDFB5B" w:rsidP="008A37DA">
            <w:pPr>
              <w:pStyle w:val="TableText"/>
              <w:rPr>
                <w:rFonts w:cs="Arial"/>
                <w:b w:val="0"/>
                <w:bCs w:val="0"/>
              </w:rPr>
            </w:pPr>
            <w:r w:rsidRPr="727BFE15">
              <w:rPr>
                <w:rFonts w:cs="Arial"/>
                <w:b w:val="0"/>
                <w:bCs w:val="0"/>
              </w:rPr>
              <w:t>M&amp;V</w:t>
            </w:r>
          </w:p>
        </w:tc>
        <w:tc>
          <w:tcPr>
            <w:tcW w:w="6260" w:type="dxa"/>
          </w:tcPr>
          <w:p w14:paraId="1436BC1D" w14:textId="65DE99ED" w:rsidR="00E1708D" w:rsidRPr="00A16D9C" w:rsidRDefault="2DBDFB5B"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Measurement and verification (of installed measures)</w:t>
            </w:r>
          </w:p>
        </w:tc>
      </w:tr>
      <w:tr w:rsidR="00664B03" w:rsidRPr="00F166D8" w14:paraId="645E3C9D"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57E368B5" w14:textId="3250E5CA" w:rsidR="00664B03" w:rsidRPr="00664B03" w:rsidRDefault="69F0865D" w:rsidP="008A37DA">
            <w:pPr>
              <w:pStyle w:val="TableText"/>
              <w:rPr>
                <w:rFonts w:cs="Arial"/>
                <w:b w:val="0"/>
                <w:bCs w:val="0"/>
              </w:rPr>
            </w:pPr>
            <w:r w:rsidRPr="727BFE15">
              <w:rPr>
                <w:rFonts w:cs="Arial"/>
                <w:b w:val="0"/>
                <w:bCs w:val="0"/>
              </w:rPr>
              <w:t>ME&amp;O</w:t>
            </w:r>
          </w:p>
        </w:tc>
        <w:tc>
          <w:tcPr>
            <w:tcW w:w="6260" w:type="dxa"/>
          </w:tcPr>
          <w:p w14:paraId="4A34BDB2" w14:textId="2E1C8BD6" w:rsidR="00664B03" w:rsidRPr="00A16D9C" w:rsidRDefault="69F0865D"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Marketing, education, and outreach</w:t>
            </w:r>
          </w:p>
        </w:tc>
      </w:tr>
      <w:tr w:rsidR="00E1439B" w:rsidRPr="00F166D8" w14:paraId="07A7A95A"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128ABD36" w14:textId="145154DB" w:rsidR="00E1439B" w:rsidRPr="00664B03" w:rsidRDefault="00E1439B" w:rsidP="008A37DA">
            <w:pPr>
              <w:pStyle w:val="TableText"/>
              <w:rPr>
                <w:rFonts w:cs="Arial"/>
                <w:b w:val="0"/>
                <w:bCs w:val="0"/>
              </w:rPr>
            </w:pPr>
            <w:r w:rsidRPr="00664B03">
              <w:rPr>
                <w:rFonts w:cs="Arial"/>
                <w:b w:val="0"/>
                <w:bCs w:val="0"/>
              </w:rPr>
              <w:t xml:space="preserve">MOU </w:t>
            </w:r>
          </w:p>
        </w:tc>
        <w:tc>
          <w:tcPr>
            <w:tcW w:w="6260" w:type="dxa"/>
          </w:tcPr>
          <w:p w14:paraId="6F897703" w14:textId="47DA77EE" w:rsidR="00E1439B" w:rsidRPr="00A16D9C" w:rsidRDefault="5E61C1D5"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 xml:space="preserve">Memorandum of </w:t>
            </w:r>
            <w:r w:rsidR="5322A1BB" w:rsidRPr="727BFE15">
              <w:rPr>
                <w:rFonts w:cs="Arial"/>
              </w:rPr>
              <w:t>u</w:t>
            </w:r>
            <w:r w:rsidRPr="727BFE15">
              <w:rPr>
                <w:rFonts w:cs="Arial"/>
              </w:rPr>
              <w:t xml:space="preserve">nderstanding </w:t>
            </w:r>
          </w:p>
        </w:tc>
      </w:tr>
      <w:tr w:rsidR="000B4FEB" w:rsidRPr="00F166D8" w14:paraId="74202DB3"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73524C1A" w14:textId="461E44BD" w:rsidR="000B4FEB" w:rsidRPr="00664B03" w:rsidRDefault="233A06AD" w:rsidP="008A37DA">
            <w:pPr>
              <w:pStyle w:val="TableText"/>
              <w:rPr>
                <w:rFonts w:eastAsia="Lato" w:cs="Arial"/>
                <w:b w:val="0"/>
                <w:bCs w:val="0"/>
              </w:rPr>
            </w:pPr>
            <w:r w:rsidRPr="727BFE15">
              <w:rPr>
                <w:rFonts w:eastAsia="Lato" w:cs="Arial"/>
                <w:b w:val="0"/>
                <w:bCs w:val="0"/>
              </w:rPr>
              <w:t>NEM</w:t>
            </w:r>
          </w:p>
        </w:tc>
        <w:tc>
          <w:tcPr>
            <w:tcW w:w="6260" w:type="dxa"/>
          </w:tcPr>
          <w:p w14:paraId="373E8279" w14:textId="5E3ACCB1" w:rsidR="000B4FEB" w:rsidRPr="00A16D9C" w:rsidRDefault="233A06AD"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sidRPr="727BFE15">
              <w:rPr>
                <w:rFonts w:eastAsia="Lato" w:cs="Arial"/>
              </w:rPr>
              <w:t>Net energy metering</w:t>
            </w:r>
          </w:p>
        </w:tc>
      </w:tr>
      <w:tr w:rsidR="00E1439B" w:rsidRPr="00F166D8" w14:paraId="62BE850C"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47566876" w14:textId="77777777" w:rsidR="00E1439B" w:rsidRPr="009C591A" w:rsidRDefault="00E1439B" w:rsidP="008A37DA">
            <w:pPr>
              <w:pStyle w:val="TableText"/>
              <w:rPr>
                <w:rFonts w:eastAsia="Lato" w:cs="Arial"/>
                <w:b w:val="0"/>
                <w:bCs w:val="0"/>
              </w:rPr>
            </w:pPr>
            <w:r w:rsidRPr="009C591A">
              <w:rPr>
                <w:rFonts w:eastAsia="Lato" w:cs="Arial"/>
                <w:b w:val="0"/>
                <w:bCs w:val="0"/>
              </w:rPr>
              <w:t xml:space="preserve">NMEC </w:t>
            </w:r>
          </w:p>
        </w:tc>
        <w:tc>
          <w:tcPr>
            <w:tcW w:w="6260" w:type="dxa"/>
          </w:tcPr>
          <w:p w14:paraId="58F24E9B" w14:textId="5453D065" w:rsidR="00E1439B" w:rsidRPr="00A16D9C" w:rsidRDefault="5E61C1D5"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sidRPr="727BFE15">
              <w:rPr>
                <w:rFonts w:eastAsia="Lato" w:cs="Arial"/>
              </w:rPr>
              <w:t xml:space="preserve">Normalized </w:t>
            </w:r>
            <w:r w:rsidR="5322A1BB" w:rsidRPr="727BFE15">
              <w:rPr>
                <w:rFonts w:eastAsia="Lato" w:cs="Arial"/>
              </w:rPr>
              <w:t>m</w:t>
            </w:r>
            <w:r w:rsidRPr="727BFE15">
              <w:rPr>
                <w:rFonts w:eastAsia="Lato" w:cs="Arial"/>
              </w:rPr>
              <w:t xml:space="preserve">etered </w:t>
            </w:r>
            <w:r w:rsidR="5322A1BB" w:rsidRPr="727BFE15">
              <w:rPr>
                <w:rFonts w:eastAsia="Lato" w:cs="Arial"/>
              </w:rPr>
              <w:t>e</w:t>
            </w:r>
            <w:r w:rsidRPr="727BFE15">
              <w:rPr>
                <w:rFonts w:eastAsia="Lato" w:cs="Arial"/>
              </w:rPr>
              <w:t xml:space="preserve">nergy </w:t>
            </w:r>
            <w:r w:rsidR="5322A1BB" w:rsidRPr="727BFE15">
              <w:rPr>
                <w:rFonts w:eastAsia="Lato" w:cs="Arial"/>
              </w:rPr>
              <w:t>c</w:t>
            </w:r>
            <w:r w:rsidRPr="727BFE15">
              <w:rPr>
                <w:rFonts w:eastAsia="Lato" w:cs="Arial"/>
              </w:rPr>
              <w:t xml:space="preserve">onsumption </w:t>
            </w:r>
          </w:p>
        </w:tc>
      </w:tr>
      <w:tr w:rsidR="005B5143" w:rsidRPr="00F166D8" w14:paraId="58B08DC7"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0129BAB4" w14:textId="71CFD72E" w:rsidR="005B5143" w:rsidRPr="009C591A" w:rsidRDefault="005B5143" w:rsidP="008A37DA">
            <w:pPr>
              <w:pStyle w:val="TableText"/>
              <w:rPr>
                <w:rFonts w:eastAsia="Lato" w:cs="Arial"/>
                <w:b w:val="0"/>
                <w:bCs w:val="0"/>
              </w:rPr>
            </w:pPr>
            <w:r w:rsidRPr="009C591A">
              <w:rPr>
                <w:rFonts w:eastAsia="Lato" w:cs="Arial"/>
                <w:b w:val="0"/>
                <w:bCs w:val="0"/>
              </w:rPr>
              <w:t>PG&amp;E</w:t>
            </w:r>
          </w:p>
        </w:tc>
        <w:tc>
          <w:tcPr>
            <w:tcW w:w="6260" w:type="dxa"/>
          </w:tcPr>
          <w:p w14:paraId="38EC34C0" w14:textId="62CD0065" w:rsidR="005B5143" w:rsidRPr="00A16D9C" w:rsidRDefault="005B5143"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Pr>
                <w:rFonts w:eastAsia="Lato" w:cs="Arial"/>
              </w:rPr>
              <w:t>Pacific Gas &amp; Electric</w:t>
            </w:r>
          </w:p>
        </w:tc>
      </w:tr>
      <w:tr w:rsidR="003E5C8B" w:rsidRPr="003E5C8B" w14:paraId="5EC82CDB"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960C9AC" w14:textId="2BCF6A94" w:rsidR="003E5C8B" w:rsidRPr="003E5C8B" w:rsidRDefault="7CEF380B" w:rsidP="008A37DA">
            <w:pPr>
              <w:pStyle w:val="TableText"/>
              <w:rPr>
                <w:rFonts w:eastAsia="Lato" w:cs="Arial"/>
                <w:b w:val="0"/>
                <w:bCs w:val="0"/>
              </w:rPr>
            </w:pPr>
            <w:r w:rsidRPr="727BFE15">
              <w:rPr>
                <w:rFonts w:eastAsia="Lato" w:cs="Arial"/>
                <w:b w:val="0"/>
                <w:bCs w:val="0"/>
              </w:rPr>
              <w:t>PV</w:t>
            </w:r>
          </w:p>
        </w:tc>
        <w:tc>
          <w:tcPr>
            <w:tcW w:w="6260" w:type="dxa"/>
          </w:tcPr>
          <w:p w14:paraId="4125B61C" w14:textId="401D8254" w:rsidR="003E5C8B" w:rsidRPr="003E5C8B" w:rsidRDefault="7CEF380B" w:rsidP="008A37DA">
            <w:pPr>
              <w:pStyle w:val="TableText"/>
              <w:cnfStyle w:val="000000000000" w:firstRow="0" w:lastRow="0" w:firstColumn="0" w:lastColumn="0" w:oddVBand="0" w:evenVBand="0" w:oddHBand="0" w:evenHBand="0" w:firstRowFirstColumn="0" w:firstRowLastColumn="0" w:lastRowFirstColumn="0" w:lastRowLastColumn="0"/>
              <w:rPr>
                <w:rFonts w:eastAsia="Lato" w:cs="Arial"/>
              </w:rPr>
            </w:pPr>
            <w:r w:rsidRPr="727BFE15">
              <w:rPr>
                <w:rFonts w:eastAsia="Lato" w:cs="Arial"/>
              </w:rPr>
              <w:t>Photovoltaic (solar)</w:t>
            </w:r>
          </w:p>
        </w:tc>
      </w:tr>
      <w:tr w:rsidR="00E1439B" w:rsidRPr="00F166D8" w14:paraId="41900926"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2D0315A2" w14:textId="77777777" w:rsidR="00E1439B" w:rsidRPr="009C591A" w:rsidRDefault="00E1439B" w:rsidP="008A37DA">
            <w:pPr>
              <w:pStyle w:val="TableText"/>
              <w:rPr>
                <w:rFonts w:eastAsia="Lato" w:cs="Arial"/>
                <w:b w:val="0"/>
                <w:bCs w:val="0"/>
              </w:rPr>
            </w:pPr>
            <w:r w:rsidRPr="009C591A">
              <w:rPr>
                <w:rFonts w:eastAsia="Lato" w:cs="Arial"/>
                <w:b w:val="0"/>
                <w:bCs w:val="0"/>
              </w:rPr>
              <w:t xml:space="preserve">SCE </w:t>
            </w:r>
          </w:p>
        </w:tc>
        <w:tc>
          <w:tcPr>
            <w:tcW w:w="6260" w:type="dxa"/>
          </w:tcPr>
          <w:p w14:paraId="6A61B600" w14:textId="77777777" w:rsidR="00E1439B" w:rsidRPr="00A16D9C" w:rsidRDefault="00E1439B" w:rsidP="008A37DA">
            <w:pPr>
              <w:pStyle w:val="TableText"/>
              <w:cnfStyle w:val="000000100000" w:firstRow="0" w:lastRow="0" w:firstColumn="0" w:lastColumn="0" w:oddVBand="0" w:evenVBand="0" w:oddHBand="1" w:evenHBand="0" w:firstRowFirstColumn="0" w:firstRowLastColumn="0" w:lastRowFirstColumn="0" w:lastRowLastColumn="0"/>
              <w:rPr>
                <w:rFonts w:eastAsia="Lato" w:cs="Arial"/>
              </w:rPr>
            </w:pPr>
            <w:r w:rsidRPr="00A16D9C">
              <w:rPr>
                <w:rFonts w:eastAsia="Lato" w:cs="Arial"/>
              </w:rPr>
              <w:t xml:space="preserve">Southern California Edison </w:t>
            </w:r>
          </w:p>
        </w:tc>
      </w:tr>
      <w:tr w:rsidR="00E1439B" w:rsidRPr="00F166D8" w14:paraId="6BAE69A3"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4DBBC6E7" w14:textId="77777777" w:rsidR="00E1439B" w:rsidRPr="009C591A" w:rsidRDefault="00E1439B" w:rsidP="008A37DA">
            <w:pPr>
              <w:pStyle w:val="TableText"/>
              <w:rPr>
                <w:rFonts w:cs="Arial"/>
                <w:b w:val="0"/>
                <w:bCs w:val="0"/>
              </w:rPr>
            </w:pPr>
            <w:r w:rsidRPr="009C591A">
              <w:rPr>
                <w:rFonts w:cs="Arial"/>
                <w:b w:val="0"/>
                <w:bCs w:val="0"/>
              </w:rPr>
              <w:t>SEER</w:t>
            </w:r>
          </w:p>
        </w:tc>
        <w:tc>
          <w:tcPr>
            <w:tcW w:w="6260" w:type="dxa"/>
          </w:tcPr>
          <w:p w14:paraId="37CA6C6D" w14:textId="4C228192" w:rsidR="00E1439B" w:rsidRPr="00A16D9C" w:rsidRDefault="1C465196" w:rsidP="008A37DA">
            <w:pPr>
              <w:pStyle w:val="TableText"/>
              <w:cnfStyle w:val="000000000000" w:firstRow="0" w:lastRow="0" w:firstColumn="0" w:lastColumn="0" w:oddVBand="0" w:evenVBand="0" w:oddHBand="0" w:evenHBand="0" w:firstRowFirstColumn="0" w:firstRowLastColumn="0" w:lastRowFirstColumn="0" w:lastRowLastColumn="0"/>
              <w:rPr>
                <w:rFonts w:eastAsia="Palatino Linotype" w:cs="Arial"/>
                <w:color w:val="141414"/>
              </w:rPr>
            </w:pPr>
            <w:r w:rsidRPr="727BFE15">
              <w:rPr>
                <w:rFonts w:cs="Arial"/>
              </w:rPr>
              <w:t xml:space="preserve">Seasonal </w:t>
            </w:r>
            <w:r w:rsidR="5322A1BB" w:rsidRPr="727BFE15">
              <w:rPr>
                <w:rFonts w:cs="Arial"/>
              </w:rPr>
              <w:t>e</w:t>
            </w:r>
            <w:r w:rsidRPr="727BFE15">
              <w:rPr>
                <w:rFonts w:cs="Arial"/>
              </w:rPr>
              <w:t xml:space="preserve">nergy </w:t>
            </w:r>
            <w:r w:rsidR="5322A1BB" w:rsidRPr="727BFE15">
              <w:rPr>
                <w:rFonts w:cs="Arial"/>
              </w:rPr>
              <w:t>e</w:t>
            </w:r>
            <w:r w:rsidRPr="727BFE15">
              <w:rPr>
                <w:rFonts w:cs="Arial"/>
              </w:rPr>
              <w:t xml:space="preserve">fficiency </w:t>
            </w:r>
            <w:r w:rsidR="5322A1BB" w:rsidRPr="727BFE15">
              <w:rPr>
                <w:rFonts w:cs="Arial"/>
              </w:rPr>
              <w:t>r</w:t>
            </w:r>
            <w:r w:rsidRPr="727BFE15">
              <w:rPr>
                <w:rFonts w:cs="Arial"/>
              </w:rPr>
              <w:t>atio</w:t>
            </w:r>
          </w:p>
        </w:tc>
      </w:tr>
      <w:tr w:rsidR="00D656FB" w:rsidRPr="00F166D8" w14:paraId="4D9D252E"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79B24123" w14:textId="0851F4C2" w:rsidR="00D656FB" w:rsidRPr="00D656FB" w:rsidRDefault="274EAD5F" w:rsidP="008A37DA">
            <w:pPr>
              <w:pStyle w:val="TableText"/>
              <w:rPr>
                <w:rFonts w:cs="Arial"/>
                <w:b w:val="0"/>
                <w:bCs w:val="0"/>
              </w:rPr>
            </w:pPr>
            <w:r w:rsidRPr="727BFE15">
              <w:rPr>
                <w:rFonts w:cs="Arial"/>
                <w:b w:val="0"/>
                <w:bCs w:val="0"/>
              </w:rPr>
              <w:t>SF</w:t>
            </w:r>
          </w:p>
        </w:tc>
        <w:tc>
          <w:tcPr>
            <w:tcW w:w="6260" w:type="dxa"/>
          </w:tcPr>
          <w:p w14:paraId="4679E6EE" w14:textId="1CDCDE48" w:rsidR="00D656FB" w:rsidRDefault="274EAD5F"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Single-family</w:t>
            </w:r>
          </w:p>
        </w:tc>
      </w:tr>
      <w:tr w:rsidR="005546ED" w:rsidRPr="00F166D8" w14:paraId="29926E48"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637EDC3E" w14:textId="4F53AC99" w:rsidR="005546ED" w:rsidRPr="005546ED" w:rsidRDefault="00609EDB" w:rsidP="008A37DA">
            <w:pPr>
              <w:pStyle w:val="TableText"/>
              <w:rPr>
                <w:rFonts w:cs="Arial"/>
                <w:b w:val="0"/>
                <w:bCs w:val="0"/>
              </w:rPr>
            </w:pPr>
            <w:r w:rsidRPr="727BFE15">
              <w:rPr>
                <w:rFonts w:cs="Arial"/>
                <w:b w:val="0"/>
                <w:bCs w:val="0"/>
              </w:rPr>
              <w:t>SGIF</w:t>
            </w:r>
          </w:p>
        </w:tc>
        <w:tc>
          <w:tcPr>
            <w:tcW w:w="6260" w:type="dxa"/>
          </w:tcPr>
          <w:p w14:paraId="14D424BF" w14:textId="3967E7AC" w:rsidR="005546ED" w:rsidRPr="00A16D9C" w:rsidRDefault="00609EDB"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Self-Generation Incentive Program</w:t>
            </w:r>
          </w:p>
        </w:tc>
      </w:tr>
      <w:tr w:rsidR="00E1439B" w:rsidRPr="00F166D8" w14:paraId="64BB9579"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531A904E" w14:textId="77777777" w:rsidR="00E1439B" w:rsidRPr="009C591A" w:rsidRDefault="00E1439B" w:rsidP="008A37DA">
            <w:pPr>
              <w:pStyle w:val="TableText"/>
              <w:rPr>
                <w:rFonts w:cs="Arial"/>
                <w:b w:val="0"/>
                <w:bCs w:val="0"/>
              </w:rPr>
            </w:pPr>
            <w:r w:rsidRPr="009C591A">
              <w:rPr>
                <w:rFonts w:cs="Arial"/>
                <w:b w:val="0"/>
                <w:bCs w:val="0"/>
              </w:rPr>
              <w:t xml:space="preserve">TOB </w:t>
            </w:r>
          </w:p>
        </w:tc>
        <w:tc>
          <w:tcPr>
            <w:tcW w:w="6260" w:type="dxa"/>
          </w:tcPr>
          <w:p w14:paraId="3D1EE172" w14:textId="1429E8E1" w:rsidR="00E1439B" w:rsidRPr="00A16D9C" w:rsidRDefault="26216DFF" w:rsidP="008A37DA">
            <w:pPr>
              <w:pStyle w:val="TableText"/>
              <w:cnfStyle w:val="000000100000" w:firstRow="0" w:lastRow="0" w:firstColumn="0" w:lastColumn="0" w:oddVBand="0" w:evenVBand="0" w:oddHBand="1" w:evenHBand="0" w:firstRowFirstColumn="0" w:firstRowLastColumn="0" w:lastRowFirstColumn="0" w:lastRowLastColumn="0"/>
              <w:rPr>
                <w:rFonts w:cs="Arial"/>
              </w:rPr>
            </w:pPr>
            <w:r w:rsidRPr="727BFE15">
              <w:rPr>
                <w:rFonts w:cs="Arial"/>
              </w:rPr>
              <w:t>T</w:t>
            </w:r>
            <w:r w:rsidR="5E61C1D5" w:rsidRPr="727BFE15">
              <w:rPr>
                <w:rFonts w:cs="Arial"/>
              </w:rPr>
              <w:t xml:space="preserve">ariffed </w:t>
            </w:r>
            <w:r w:rsidR="5322A1BB" w:rsidRPr="727BFE15">
              <w:rPr>
                <w:rFonts w:cs="Arial"/>
              </w:rPr>
              <w:t>o</w:t>
            </w:r>
            <w:r w:rsidR="5E61C1D5" w:rsidRPr="727BFE15">
              <w:rPr>
                <w:rFonts w:cs="Arial"/>
              </w:rPr>
              <w:t>n-</w:t>
            </w:r>
            <w:r w:rsidR="5322A1BB" w:rsidRPr="727BFE15">
              <w:rPr>
                <w:rFonts w:cs="Arial"/>
              </w:rPr>
              <w:t>b</w:t>
            </w:r>
            <w:r w:rsidR="5E61C1D5" w:rsidRPr="727BFE15">
              <w:rPr>
                <w:rFonts w:cs="Arial"/>
              </w:rPr>
              <w:t xml:space="preserve">ill </w:t>
            </w:r>
          </w:p>
        </w:tc>
      </w:tr>
      <w:tr w:rsidR="003D152A" w:rsidRPr="003D152A" w14:paraId="429CD077" w14:textId="77777777" w:rsidTr="727BFE15">
        <w:tc>
          <w:tcPr>
            <w:cnfStyle w:val="001000000000" w:firstRow="0" w:lastRow="0" w:firstColumn="1" w:lastColumn="0" w:oddVBand="0" w:evenVBand="0" w:oddHBand="0" w:evenHBand="0" w:firstRowFirstColumn="0" w:firstRowLastColumn="0" w:lastRowFirstColumn="0" w:lastRowLastColumn="0"/>
            <w:tcW w:w="2465" w:type="dxa"/>
          </w:tcPr>
          <w:p w14:paraId="1077CEC2" w14:textId="272F4BA1" w:rsidR="003D152A" w:rsidRPr="003D152A" w:rsidRDefault="5F12EA3D" w:rsidP="008A37DA">
            <w:pPr>
              <w:pStyle w:val="TableText"/>
              <w:rPr>
                <w:rFonts w:cs="Arial"/>
                <w:b w:val="0"/>
                <w:bCs w:val="0"/>
              </w:rPr>
            </w:pPr>
            <w:r w:rsidRPr="727BFE15">
              <w:rPr>
                <w:rFonts w:cs="Arial"/>
                <w:b w:val="0"/>
                <w:bCs w:val="0"/>
              </w:rPr>
              <w:t>TOU</w:t>
            </w:r>
          </w:p>
        </w:tc>
        <w:tc>
          <w:tcPr>
            <w:tcW w:w="6260" w:type="dxa"/>
          </w:tcPr>
          <w:p w14:paraId="5F43AEFC" w14:textId="382623B2" w:rsidR="003D152A" w:rsidRPr="003D152A" w:rsidRDefault="5F12EA3D" w:rsidP="008A37DA">
            <w:pPr>
              <w:pStyle w:val="TableText"/>
              <w:cnfStyle w:val="000000000000" w:firstRow="0" w:lastRow="0" w:firstColumn="0" w:lastColumn="0" w:oddVBand="0" w:evenVBand="0" w:oddHBand="0" w:evenHBand="0" w:firstRowFirstColumn="0" w:firstRowLastColumn="0" w:lastRowFirstColumn="0" w:lastRowLastColumn="0"/>
              <w:rPr>
                <w:rFonts w:cs="Arial"/>
              </w:rPr>
            </w:pPr>
            <w:r w:rsidRPr="727BFE15">
              <w:rPr>
                <w:rFonts w:cs="Arial"/>
              </w:rPr>
              <w:t>Time of use (utility billing rate)</w:t>
            </w:r>
          </w:p>
        </w:tc>
      </w:tr>
    </w:tbl>
    <w:p w14:paraId="099DC966" w14:textId="3A9D109D" w:rsidR="001129A9" w:rsidRDefault="2E240C6D" w:rsidP="002D7C9B">
      <w:pPr>
        <w:pStyle w:val="Heading1"/>
      </w:pPr>
      <w:bookmarkStart w:id="7" w:name="_Toc98921596"/>
      <w:r>
        <w:t xml:space="preserve">Regarding This </w:t>
      </w:r>
      <w:r w:rsidR="2544BFD3">
        <w:t>Guide</w:t>
      </w:r>
      <w:r w:rsidR="4BA65CCD">
        <w:t>:</w:t>
      </w:r>
      <w:r w:rsidR="00B911E3">
        <w:t xml:space="preserve"> P</w:t>
      </w:r>
      <w:r w:rsidR="19D5E280">
        <w:t>roposal Instructions and a</w:t>
      </w:r>
      <w:r w:rsidR="4BA65CCD">
        <w:t xml:space="preserve"> </w:t>
      </w:r>
      <w:r w:rsidR="2544BFD3">
        <w:t>Model Plan</w:t>
      </w:r>
      <w:bookmarkEnd w:id="7"/>
    </w:p>
    <w:p w14:paraId="797E7BCE" w14:textId="7EC2C7C0" w:rsidR="00B7485B" w:rsidRDefault="5436FC52" w:rsidP="008D071B">
      <w:r>
        <w:t>T</w:t>
      </w:r>
      <w:r w:rsidR="7F1F5254">
        <w:t>he TECH Clean California’s Tariffed On-Bill</w:t>
      </w:r>
      <w:r w:rsidR="65603E59">
        <w:t xml:space="preserve"> </w:t>
      </w:r>
      <w:r w:rsidR="53977921">
        <w:t>Program</w:t>
      </w:r>
      <w:r w:rsidR="65603E59">
        <w:t xml:space="preserve"> team</w:t>
      </w:r>
      <w:r>
        <w:t xml:space="preserve"> is providing this</w:t>
      </w:r>
      <w:r w:rsidR="6C1F77E3">
        <w:t xml:space="preserve"> </w:t>
      </w:r>
      <w:r w:rsidR="3BF7F451">
        <w:t xml:space="preserve">guide and </w:t>
      </w:r>
      <w:r w:rsidR="6C1F77E3">
        <w:t xml:space="preserve">model plan </w:t>
      </w:r>
      <w:r>
        <w:t>as a public service</w:t>
      </w:r>
      <w:r w:rsidR="65603E59">
        <w:t xml:space="preserve">. </w:t>
      </w:r>
    </w:p>
    <w:p w14:paraId="7E7B24DB" w14:textId="4AA3F576" w:rsidR="00B7485B" w:rsidRDefault="65603E59" w:rsidP="008D071B">
      <w:r>
        <w:t xml:space="preserve">It </w:t>
      </w:r>
      <w:r w:rsidR="732F8802">
        <w:t>offers</w:t>
      </w:r>
      <w:r w:rsidR="55465EB8">
        <w:t xml:space="preserve"> instructions </w:t>
      </w:r>
      <w:r>
        <w:t xml:space="preserve">for prospective Program </w:t>
      </w:r>
      <w:r w:rsidR="29EEB9E7">
        <w:t xml:space="preserve">Sponsors </w:t>
      </w:r>
      <w:r w:rsidR="6CED654B">
        <w:t xml:space="preserve">wishing </w:t>
      </w:r>
      <w:r>
        <w:t>to submit a Tariffed On-Bill</w:t>
      </w:r>
      <w:r w:rsidR="7A6746C5">
        <w:t xml:space="preserve"> Investment proposal to the California Public Utilities Commission </w:t>
      </w:r>
      <w:r w:rsidR="2C6B05FA">
        <w:t xml:space="preserve">(CPUC) </w:t>
      </w:r>
      <w:r w:rsidR="7A6746C5">
        <w:t xml:space="preserve">in response to the Commission’s call for </w:t>
      </w:r>
      <w:r w:rsidR="59684832">
        <w:t>proposals for clean</w:t>
      </w:r>
      <w:r w:rsidR="62F1B23A">
        <w:t>-</w:t>
      </w:r>
      <w:r w:rsidR="59684832">
        <w:t>energy financing programs under proceeding R.20-08-022</w:t>
      </w:r>
      <w:r w:rsidR="103A2BBD">
        <w:t>.</w:t>
      </w:r>
      <w:r w:rsidR="0029513F">
        <w:rPr>
          <w:rStyle w:val="FootnoteReference"/>
        </w:rPr>
        <w:footnoteReference w:id="2"/>
      </w:r>
      <w:r w:rsidR="7D0F5B94">
        <w:t xml:space="preserve"> </w:t>
      </w:r>
    </w:p>
    <w:p w14:paraId="0C471B37" w14:textId="6F52FC8E" w:rsidR="009C01E2" w:rsidRDefault="649B79A0" w:rsidP="006A01F4">
      <w:r>
        <w:t>As a model plan, i</w:t>
      </w:r>
      <w:r w:rsidR="7401F5F5">
        <w:t>t</w:t>
      </w:r>
      <w:r w:rsidR="55465EB8">
        <w:t xml:space="preserve"> offers topical information</w:t>
      </w:r>
      <w:r w:rsidR="04159E05">
        <w:t xml:space="preserve"> on </w:t>
      </w:r>
      <w:r w:rsidR="04159E05" w:rsidRPr="009264DC">
        <w:t xml:space="preserve">tariffed on-bill financing </w:t>
      </w:r>
      <w:r w:rsidR="04159E05">
        <w:t xml:space="preserve">that a </w:t>
      </w:r>
      <w:r w:rsidR="55465EB8">
        <w:t>Program Sponsor</w:t>
      </w:r>
      <w:r w:rsidR="04159E05">
        <w:t xml:space="preserve"> can consider </w:t>
      </w:r>
      <w:r w:rsidR="7C96C952" w:rsidRPr="00A12155">
        <w:t xml:space="preserve">when </w:t>
      </w:r>
      <w:r w:rsidR="4213F75B">
        <w:t xml:space="preserve">framing a proposal. </w:t>
      </w:r>
      <w:r w:rsidR="6AD96EFD" w:rsidRPr="00E71B55">
        <w:t xml:space="preserve">In this respect, </w:t>
      </w:r>
      <w:r w:rsidR="1FD20607">
        <w:t xml:space="preserve">the </w:t>
      </w:r>
      <w:r w:rsidR="6AD96EFD" w:rsidRPr="00E71B55">
        <w:t>TECH Clean California</w:t>
      </w:r>
      <w:r w:rsidR="00E71B55" w:rsidRPr="00E71B55">
        <w:rPr>
          <w:vertAlign w:val="superscript"/>
        </w:rPr>
        <w:footnoteReference w:id="3"/>
      </w:r>
      <w:r w:rsidR="6AD96EFD" w:rsidRPr="00E71B55">
        <w:t xml:space="preserve"> </w:t>
      </w:r>
      <w:r w:rsidR="1FD20607">
        <w:t xml:space="preserve">model plan </w:t>
      </w:r>
      <w:r w:rsidR="7D0F5B94">
        <w:t xml:space="preserve">closely follows the guidance and the proposal outline specified in the </w:t>
      </w:r>
      <w:r w:rsidR="66DF3A96">
        <w:t xml:space="preserve">Assigned </w:t>
      </w:r>
      <w:r w:rsidR="7D0F5B94">
        <w:t>Commission</w:t>
      </w:r>
      <w:r w:rsidR="66DF3A96">
        <w:t xml:space="preserve">er’s Amended Scoping Memo and Ruling, dated </w:t>
      </w:r>
      <w:r w:rsidR="481B54B8">
        <w:t>November 19, 2021.</w:t>
      </w:r>
      <w:r w:rsidR="00144D3C">
        <w:rPr>
          <w:rStyle w:val="FootnoteReference"/>
        </w:rPr>
        <w:footnoteReference w:id="4"/>
      </w:r>
      <w:r w:rsidR="7D0F5B94">
        <w:t xml:space="preserve"> </w:t>
      </w:r>
    </w:p>
    <w:p w14:paraId="38766EDF" w14:textId="78C032A7" w:rsidR="008464AB" w:rsidRPr="009C01E2" w:rsidRDefault="0CF97D42" w:rsidP="00AB7EE3">
      <w:r>
        <w:t xml:space="preserve">Throughout, the model contains </w:t>
      </w:r>
      <w:r w:rsidR="598B5983">
        <w:t xml:space="preserve">opportunities for </w:t>
      </w:r>
      <w:r w:rsidR="74B7921F">
        <w:t xml:space="preserve">filling in blanks (shown in square brackets [    ]}, should a Program Sponsor be interested in </w:t>
      </w:r>
      <w:r w:rsidR="5C6A9141">
        <w:t xml:space="preserve">adapting </w:t>
      </w:r>
      <w:r w:rsidR="41107A0F">
        <w:t xml:space="preserve">that section’s information in a proposal. </w:t>
      </w:r>
      <w:r w:rsidR="1B559DB2">
        <w:t xml:space="preserve">It also contains </w:t>
      </w:r>
      <w:r w:rsidR="65A41B8B">
        <w:t>comments</w:t>
      </w:r>
      <w:r w:rsidR="4D3B966D">
        <w:t xml:space="preserve">, with attribution, from </w:t>
      </w:r>
      <w:r w:rsidR="2C6B05FA">
        <w:t>either the CPUC</w:t>
      </w:r>
      <w:r w:rsidR="4D3B966D">
        <w:t xml:space="preserve"> </w:t>
      </w:r>
      <w:r w:rsidR="2C6B05FA">
        <w:t xml:space="preserve">or </w:t>
      </w:r>
      <w:r w:rsidR="75DAA10E">
        <w:t xml:space="preserve">the </w:t>
      </w:r>
      <w:r w:rsidR="73A03B75">
        <w:t>TECH Clean California</w:t>
      </w:r>
      <w:r w:rsidR="75DAA10E">
        <w:t xml:space="preserve"> team</w:t>
      </w:r>
      <w:r w:rsidR="3A4D31F6">
        <w:t>.</w:t>
      </w:r>
      <w:r w:rsidR="17827B52">
        <w:t xml:space="preserve"> </w:t>
      </w:r>
      <w:r w:rsidR="016D70A0">
        <w:t>Such comments and i</w:t>
      </w:r>
      <w:r w:rsidR="1584957D">
        <w:t xml:space="preserve">nstructions for </w:t>
      </w:r>
      <w:r w:rsidR="3687D861">
        <w:t xml:space="preserve">proposal </w:t>
      </w:r>
      <w:r w:rsidR="1584957D">
        <w:t xml:space="preserve">preparation are signaled in </w:t>
      </w:r>
      <w:r w:rsidR="1584957D" w:rsidRPr="727BFE15">
        <w:rPr>
          <w:i/>
          <w:iCs/>
        </w:rPr>
        <w:t xml:space="preserve">italics, </w:t>
      </w:r>
      <w:r w:rsidR="1584957D">
        <w:t>and appear at the beginning of the relevant sections.</w:t>
      </w:r>
    </w:p>
    <w:p w14:paraId="06A02A7F" w14:textId="7ED2B10C" w:rsidR="002D7C9B" w:rsidRDefault="002D7C9B" w:rsidP="002D7C9B">
      <w:pPr>
        <w:pStyle w:val="Heading1"/>
      </w:pPr>
      <w:bookmarkStart w:id="8" w:name="_Toc98921597"/>
      <w:r>
        <w:t>Executive Summary</w:t>
      </w:r>
      <w:bookmarkEnd w:id="8"/>
    </w:p>
    <w:p w14:paraId="3BA46594" w14:textId="404E14B9" w:rsidR="00436D55" w:rsidRDefault="55465EB8" w:rsidP="727BFE15">
      <w:pPr>
        <w:rPr>
          <w:i/>
          <w:iCs/>
        </w:rPr>
      </w:pPr>
      <w:r w:rsidRPr="727BFE15">
        <w:rPr>
          <w:i/>
          <w:iCs/>
        </w:rPr>
        <w:t>Guidance from TECH Clean California:</w:t>
      </w:r>
    </w:p>
    <w:p w14:paraId="027BCB2F" w14:textId="7B621593" w:rsidR="001B6FD3" w:rsidRPr="002E437E" w:rsidRDefault="70BE8A3B" w:rsidP="727BFE15">
      <w:pPr>
        <w:rPr>
          <w:i/>
          <w:iCs/>
          <w:spacing w:val="-1"/>
        </w:rPr>
      </w:pPr>
      <w:r w:rsidRPr="727BFE15">
        <w:rPr>
          <w:i/>
          <w:iCs/>
        </w:rPr>
        <w:t xml:space="preserve">This section should </w:t>
      </w:r>
      <w:r w:rsidR="0B82500D" w:rsidRPr="727BFE15">
        <w:rPr>
          <w:i/>
          <w:iCs/>
        </w:rPr>
        <w:t xml:space="preserve">contain </w:t>
      </w:r>
      <w:r w:rsidRPr="727BFE15">
        <w:rPr>
          <w:i/>
          <w:iCs/>
        </w:rPr>
        <w:t xml:space="preserve">the </w:t>
      </w:r>
      <w:r w:rsidR="441CB2DB" w:rsidRPr="727BFE15">
        <w:rPr>
          <w:i/>
          <w:iCs/>
        </w:rPr>
        <w:t xml:space="preserve">proposed </w:t>
      </w:r>
      <w:r w:rsidRPr="727BFE15">
        <w:rPr>
          <w:i/>
          <w:iCs/>
        </w:rPr>
        <w:t>program</w:t>
      </w:r>
      <w:r w:rsidR="441CB2DB" w:rsidRPr="727BFE15">
        <w:rPr>
          <w:i/>
          <w:iCs/>
        </w:rPr>
        <w:t>’s</w:t>
      </w:r>
      <w:r w:rsidRPr="727BFE15">
        <w:rPr>
          <w:i/>
          <w:iCs/>
          <w:spacing w:val="-1"/>
        </w:rPr>
        <w:t xml:space="preserve"> </w:t>
      </w:r>
      <w:r w:rsidR="441CB2DB" w:rsidRPr="727BFE15">
        <w:rPr>
          <w:i/>
          <w:iCs/>
          <w:spacing w:val="-1"/>
        </w:rPr>
        <w:t>essential information</w:t>
      </w:r>
      <w:r w:rsidRPr="727BFE15">
        <w:rPr>
          <w:i/>
          <w:iCs/>
          <w:spacing w:val="-1"/>
        </w:rPr>
        <w:t>,</w:t>
      </w:r>
      <w:r w:rsidRPr="727BFE15">
        <w:rPr>
          <w:i/>
          <w:iCs/>
          <w:spacing w:val="2"/>
        </w:rPr>
        <w:t xml:space="preserve"> </w:t>
      </w:r>
      <w:r w:rsidR="441CB2DB" w:rsidRPr="727BFE15">
        <w:rPr>
          <w:i/>
          <w:iCs/>
          <w:spacing w:val="2"/>
        </w:rPr>
        <w:t>such as</w:t>
      </w:r>
      <w:r w:rsidRPr="727BFE15">
        <w:rPr>
          <w:i/>
          <w:iCs/>
          <w:spacing w:val="-1"/>
        </w:rPr>
        <w:t>:</w:t>
      </w:r>
    </w:p>
    <w:p w14:paraId="622E7AB3" w14:textId="77777777" w:rsidR="001B6FD3" w:rsidRPr="002E437E" w:rsidRDefault="36CB0708" w:rsidP="727BFE15">
      <w:pPr>
        <w:pStyle w:val="ListParagraph"/>
        <w:numPr>
          <w:ilvl w:val="0"/>
          <w:numId w:val="35"/>
        </w:numPr>
        <w:rPr>
          <w:i/>
          <w:iCs/>
        </w:rPr>
      </w:pPr>
      <w:r w:rsidRPr="727BFE15">
        <w:rPr>
          <w:i/>
          <w:iCs/>
        </w:rPr>
        <w:t>A short description of the program approach</w:t>
      </w:r>
    </w:p>
    <w:p w14:paraId="2C2620D0" w14:textId="28B0F7E0" w:rsidR="001B6FD3" w:rsidRPr="002E437E" w:rsidRDefault="36CB0708" w:rsidP="727BFE15">
      <w:pPr>
        <w:pStyle w:val="ListParagraph"/>
        <w:numPr>
          <w:ilvl w:val="0"/>
          <w:numId w:val="35"/>
        </w:numPr>
        <w:rPr>
          <w:i/>
          <w:iCs/>
        </w:rPr>
      </w:pPr>
      <w:r w:rsidRPr="727BFE15">
        <w:rPr>
          <w:i/>
          <w:iCs/>
          <w:spacing w:val="-1"/>
        </w:rPr>
        <w:t xml:space="preserve">What the program’s overall goals are (how it will overcome </w:t>
      </w:r>
      <w:r w:rsidR="441CB2DB" w:rsidRPr="727BFE15">
        <w:rPr>
          <w:i/>
          <w:iCs/>
          <w:spacing w:val="-1"/>
        </w:rPr>
        <w:t xml:space="preserve">an </w:t>
      </w:r>
      <w:r w:rsidRPr="727BFE15">
        <w:rPr>
          <w:i/>
          <w:iCs/>
          <w:spacing w:val="-1"/>
        </w:rPr>
        <w:t xml:space="preserve">identified market barrier) </w:t>
      </w:r>
    </w:p>
    <w:p w14:paraId="4AE21024" w14:textId="170FE47E" w:rsidR="00C55577" w:rsidRPr="00C55577" w:rsidRDefault="3687D861" w:rsidP="727BFE15">
      <w:pPr>
        <w:pStyle w:val="ListParagraph"/>
        <w:numPr>
          <w:ilvl w:val="0"/>
          <w:numId w:val="35"/>
        </w:numPr>
        <w:rPr>
          <w:i/>
          <w:iCs/>
        </w:rPr>
      </w:pPr>
      <w:r w:rsidRPr="727BFE15">
        <w:rPr>
          <w:i/>
          <w:iCs/>
          <w:spacing w:val="-1"/>
        </w:rPr>
        <w:t xml:space="preserve">A description of the entity that will </w:t>
      </w:r>
      <w:r w:rsidR="36CB0708" w:rsidRPr="727BFE15">
        <w:rPr>
          <w:i/>
          <w:iCs/>
          <w:spacing w:val="-1"/>
        </w:rPr>
        <w:t xml:space="preserve">carry out the </w:t>
      </w:r>
      <w:r w:rsidR="441CB2DB" w:rsidRPr="727BFE15">
        <w:rPr>
          <w:i/>
          <w:iCs/>
          <w:spacing w:val="-1"/>
        </w:rPr>
        <w:t>p</w:t>
      </w:r>
      <w:r w:rsidR="36CB0708" w:rsidRPr="727BFE15">
        <w:rPr>
          <w:i/>
          <w:iCs/>
          <w:spacing w:val="-1"/>
        </w:rPr>
        <w:t>rogram</w:t>
      </w:r>
    </w:p>
    <w:p w14:paraId="32162511" w14:textId="77777777" w:rsidR="00C55577" w:rsidRPr="00C55577" w:rsidRDefault="2A1EACB1" w:rsidP="727BFE15">
      <w:pPr>
        <w:pStyle w:val="ListParagraph"/>
        <w:numPr>
          <w:ilvl w:val="0"/>
          <w:numId w:val="35"/>
        </w:numPr>
        <w:rPr>
          <w:i/>
          <w:iCs/>
        </w:rPr>
      </w:pPr>
      <w:r w:rsidRPr="727BFE15">
        <w:rPr>
          <w:i/>
          <w:iCs/>
          <w:spacing w:val="-1"/>
        </w:rPr>
        <w:t>W</w:t>
      </w:r>
      <w:r w:rsidR="36CB0708" w:rsidRPr="727BFE15">
        <w:rPr>
          <w:i/>
          <w:iCs/>
          <w:spacing w:val="-1"/>
        </w:rPr>
        <w:t>ho is eligible to participate</w:t>
      </w:r>
    </w:p>
    <w:p w14:paraId="4DC598BD" w14:textId="43B48DAD" w:rsidR="001B6FD3" w:rsidRPr="002E437E" w:rsidRDefault="2A1EACB1" w:rsidP="727BFE15">
      <w:pPr>
        <w:pStyle w:val="ListParagraph"/>
        <w:numPr>
          <w:ilvl w:val="0"/>
          <w:numId w:val="35"/>
        </w:numPr>
        <w:rPr>
          <w:i/>
          <w:iCs/>
        </w:rPr>
      </w:pPr>
      <w:r w:rsidRPr="727BFE15">
        <w:rPr>
          <w:i/>
          <w:iCs/>
          <w:spacing w:val="-1"/>
        </w:rPr>
        <w:t>T</w:t>
      </w:r>
      <w:r w:rsidR="36CB0708" w:rsidRPr="727BFE15">
        <w:rPr>
          <w:i/>
          <w:iCs/>
          <w:spacing w:val="-1"/>
        </w:rPr>
        <w:t xml:space="preserve">he general timeline </w:t>
      </w:r>
    </w:p>
    <w:p w14:paraId="12A75B28" w14:textId="6E408864" w:rsidR="00022AB9" w:rsidRDefault="00022AB9" w:rsidP="002D7C9B">
      <w:pPr>
        <w:pStyle w:val="Heading1"/>
      </w:pPr>
      <w:bookmarkStart w:id="9" w:name="_Toc98921598"/>
      <w:r>
        <w:t xml:space="preserve">PART I: Overall </w:t>
      </w:r>
      <w:r w:rsidR="002D7C9B">
        <w:t>G</w:t>
      </w:r>
      <w:r>
        <w:t xml:space="preserve">oals and </w:t>
      </w:r>
      <w:r w:rsidR="002D7C9B">
        <w:t>P</w:t>
      </w:r>
      <w:r>
        <w:t>rinciples</w:t>
      </w:r>
      <w:bookmarkEnd w:id="9"/>
    </w:p>
    <w:p w14:paraId="3960CAAC" w14:textId="0DFA35C6" w:rsidR="00022AB9" w:rsidRDefault="250E70CA" w:rsidP="007B585C">
      <w:pPr>
        <w:pStyle w:val="Heading2"/>
      </w:pPr>
      <w:bookmarkStart w:id="10" w:name="_Toc98921599"/>
      <w:r>
        <w:t>Program Goals</w:t>
      </w:r>
      <w:r w:rsidR="767A41AF">
        <w:t>,</w:t>
      </w:r>
      <w:r>
        <w:t xml:space="preserve"> Objectives</w:t>
      </w:r>
      <w:r w:rsidR="767A41AF">
        <w:t>, and Market Barriers Addressed</w:t>
      </w:r>
      <w:bookmarkEnd w:id="10"/>
    </w:p>
    <w:p w14:paraId="5B119DB3" w14:textId="0FCCF444" w:rsidR="00436D55" w:rsidRDefault="55465EB8" w:rsidP="727BFE15">
      <w:pPr>
        <w:rPr>
          <w:i/>
          <w:iCs/>
        </w:rPr>
      </w:pPr>
      <w:r w:rsidRPr="727BFE15">
        <w:rPr>
          <w:i/>
          <w:iCs/>
        </w:rPr>
        <w:t>Guidance from</w:t>
      </w:r>
      <w:r w:rsidR="00DD5BF4">
        <w:rPr>
          <w:i/>
          <w:iCs/>
        </w:rPr>
        <w:t xml:space="preserve"> The CPUC’s Assigned Commissioner’s Ruling</w:t>
      </w:r>
      <w:r w:rsidR="00927331">
        <w:rPr>
          <w:i/>
          <w:iCs/>
        </w:rPr>
        <w:t xml:space="preserve"> (ACR), dated </w:t>
      </w:r>
      <w:r w:rsidR="00DD5BF4">
        <w:rPr>
          <w:i/>
          <w:iCs/>
        </w:rPr>
        <w:t>Nov. 19, 2021</w:t>
      </w:r>
      <w:r w:rsidR="00BA3E6B">
        <w:rPr>
          <w:rStyle w:val="FootnoteReference"/>
          <w:i/>
          <w:iCs/>
        </w:rPr>
        <w:footnoteReference w:id="5"/>
      </w:r>
      <w:r w:rsidR="00DD5BF4" w:rsidRPr="727BFE15" w:rsidDel="00DD5BF4">
        <w:rPr>
          <w:i/>
          <w:iCs/>
        </w:rPr>
        <w:t xml:space="preserve"> </w:t>
      </w:r>
    </w:p>
    <w:p w14:paraId="39C7C178" w14:textId="44C1D4E8" w:rsidR="004E25B9" w:rsidRDefault="5FDCDFFF" w:rsidP="727BFE15">
      <w:pPr>
        <w:rPr>
          <w:i/>
          <w:iCs/>
        </w:rPr>
      </w:pPr>
      <w:r w:rsidRPr="727BFE15">
        <w:rPr>
          <w:i/>
          <w:iCs/>
        </w:rPr>
        <w:t>Describe what this program is seeking to achieve, including which market barrier(s) is being addressed through the program.</w:t>
      </w:r>
    </w:p>
    <w:p w14:paraId="513D611A" w14:textId="5EB160EE" w:rsidR="00E74447" w:rsidRDefault="260BAA11" w:rsidP="00E74447">
      <w:pPr>
        <w:pStyle w:val="Heading3"/>
      </w:pPr>
      <w:r>
        <w:t>Program Goal</w:t>
      </w:r>
    </w:p>
    <w:p w14:paraId="64289952" w14:textId="11F5C345" w:rsidR="00484926" w:rsidRDefault="46403053" w:rsidP="6EF3B91B">
      <w:pPr>
        <w:rPr>
          <w:rFonts w:eastAsia="Lato"/>
        </w:rPr>
      </w:pPr>
      <w:r>
        <w:t xml:space="preserve">The </w:t>
      </w:r>
      <w:r w:rsidR="345982FA">
        <w:t xml:space="preserve">primary </w:t>
      </w:r>
      <w:r>
        <w:t xml:space="preserve">goal of the Tariffed On-Bill </w:t>
      </w:r>
      <w:r w:rsidR="0276AE5F">
        <w:t>(</w:t>
      </w:r>
      <w:r>
        <w:t>TOB</w:t>
      </w:r>
      <w:r w:rsidR="0276AE5F">
        <w:t>)</w:t>
      </w:r>
      <w:r w:rsidR="1A6F5FFF">
        <w:t xml:space="preserve"> Investment</w:t>
      </w:r>
      <w:r>
        <w:t xml:space="preserve"> </w:t>
      </w:r>
      <w:r w:rsidR="53977921">
        <w:t>Program</w:t>
      </w:r>
      <w:r>
        <w:t xml:space="preserve"> is to expand customer access to clean energy investments</w:t>
      </w:r>
      <w:r w:rsidR="786F2F7C">
        <w:t xml:space="preserve"> by offering an investment solution that does not necessitate financial means testing for participation.</w:t>
      </w:r>
      <w:r>
        <w:t xml:space="preserve"> </w:t>
      </w:r>
      <w:r w:rsidR="222786BA">
        <w:t xml:space="preserve">This innovation simplifies the </w:t>
      </w:r>
      <w:r w:rsidR="3EA2FFCB">
        <w:t xml:space="preserve">customer enrollment process and </w:t>
      </w:r>
      <w:r w:rsidR="2AD50C85">
        <w:t>expands eligibility</w:t>
      </w:r>
      <w:r w:rsidR="3EA2FFCB">
        <w:t xml:space="preserve"> </w:t>
      </w:r>
      <w:r>
        <w:t xml:space="preserve">to include customers </w:t>
      </w:r>
      <w:r w:rsidR="49F02E4C">
        <w:t xml:space="preserve">who </w:t>
      </w:r>
      <w:r>
        <w:t>are typically disqualified</w:t>
      </w:r>
      <w:r w:rsidR="2AD50C85">
        <w:t xml:space="preserve"> from conventional loan and incentive programs</w:t>
      </w:r>
      <w:r w:rsidR="7BF9B238">
        <w:t xml:space="preserve">. Disqualification might relate to customers’ </w:t>
      </w:r>
      <w:r>
        <w:t xml:space="preserve">high debt-to-income ratios, poor credit, </w:t>
      </w:r>
      <w:r w:rsidR="2AD50C85">
        <w:t>low</w:t>
      </w:r>
      <w:r w:rsidR="7BF9B238">
        <w:t>-</w:t>
      </w:r>
      <w:r w:rsidR="2AD50C85">
        <w:t>income</w:t>
      </w:r>
      <w:r w:rsidR="7BF9B238">
        <w:t xml:space="preserve"> status</w:t>
      </w:r>
      <w:r w:rsidR="2AD50C85">
        <w:t xml:space="preserve">, </w:t>
      </w:r>
      <w:r>
        <w:t>low home equity, or renter status</w:t>
      </w:r>
      <w:r w:rsidR="2AD50C85">
        <w:t>.</w:t>
      </w:r>
      <w:r>
        <w:t xml:space="preserve"> </w:t>
      </w:r>
      <w:r w:rsidR="3BA3856F">
        <w:t xml:space="preserve">Full </w:t>
      </w:r>
      <w:r>
        <w:t>participation</w:t>
      </w:r>
      <w:r w:rsidR="634E306E">
        <w:t xml:space="preserve"> </w:t>
      </w:r>
      <w:r w:rsidR="3BA3856F">
        <w:t xml:space="preserve">from these customer segments </w:t>
      </w:r>
      <w:r w:rsidR="634E306E">
        <w:t xml:space="preserve">in residential decarbonization improvements </w:t>
      </w:r>
      <w:r w:rsidR="3BA3856F">
        <w:t>will be</w:t>
      </w:r>
      <w:r>
        <w:t xml:space="preserve"> necessary to meet state </w:t>
      </w:r>
      <w:r w:rsidR="6B20584F">
        <w:t>greenhouse gas (</w:t>
      </w:r>
      <w:r>
        <w:t>GHG</w:t>
      </w:r>
      <w:r w:rsidR="6B20584F">
        <w:t>)</w:t>
      </w:r>
      <w:r>
        <w:t xml:space="preserve"> goals in an equitable fashion. In particular, </w:t>
      </w:r>
      <w:r w:rsidR="1A6F5FFF">
        <w:t xml:space="preserve">the </w:t>
      </w:r>
      <w:r w:rsidR="45AD31E8">
        <w:t xml:space="preserve">State’s TOB </w:t>
      </w:r>
      <w:r w:rsidR="53977921">
        <w:t>Program</w:t>
      </w:r>
      <w:r>
        <w:t xml:space="preserve"> will </w:t>
      </w:r>
      <w:r w:rsidR="7438B6BC">
        <w:t>establish the scalability of a</w:t>
      </w:r>
      <w:r>
        <w:t xml:space="preserve"> tariffed on-bill investment</w:t>
      </w:r>
      <w:r w:rsidR="7438B6BC">
        <w:t xml:space="preserve"> solution</w:t>
      </w:r>
      <w:r>
        <w:t xml:space="preserve"> </w:t>
      </w:r>
      <w:r w:rsidR="3A48C46F">
        <w:t>by demonstrating</w:t>
      </w:r>
      <w:r>
        <w:t>:</w:t>
      </w:r>
    </w:p>
    <w:p w14:paraId="0B8F41F3" w14:textId="58A5C111" w:rsidR="00D65357" w:rsidRDefault="45AD31E8" w:rsidP="727BFE15">
      <w:pPr>
        <w:pStyle w:val="ListParagraph"/>
        <w:numPr>
          <w:ilvl w:val="0"/>
          <w:numId w:val="17"/>
        </w:numPr>
        <w:spacing w:before="80" w:line="276" w:lineRule="auto"/>
        <w:rPr>
          <w:rFonts w:eastAsiaTheme="minorEastAsia" w:cstheme="minorBidi"/>
        </w:rPr>
      </w:pPr>
      <w:r>
        <w:t>An e</w:t>
      </w:r>
      <w:r w:rsidR="5DD0F1B9">
        <w:t xml:space="preserve">xpanded addressable market </w:t>
      </w:r>
      <w:r w:rsidR="50E648EA">
        <w:t xml:space="preserve">relative to market-rate incentive and loan programs </w:t>
      </w:r>
      <w:r w:rsidR="5DD0F1B9">
        <w:t xml:space="preserve">via inclusion of renters and low- </w:t>
      </w:r>
      <w:r w:rsidR="6F3433C5">
        <w:t>to</w:t>
      </w:r>
      <w:r w:rsidR="5DD0F1B9">
        <w:t xml:space="preserve"> moderate-income households</w:t>
      </w:r>
      <w:r w:rsidR="00355826">
        <w:rPr>
          <w:rStyle w:val="FootnoteReference"/>
        </w:rPr>
        <w:footnoteReference w:id="6"/>
      </w:r>
    </w:p>
    <w:p w14:paraId="11E1B643" w14:textId="162C4835" w:rsidR="00D65357" w:rsidRDefault="00D65357" w:rsidP="008A11C0">
      <w:pPr>
        <w:pStyle w:val="ListParagraph"/>
        <w:numPr>
          <w:ilvl w:val="0"/>
          <w:numId w:val="17"/>
        </w:numPr>
        <w:spacing w:before="80" w:line="276" w:lineRule="auto"/>
        <w:rPr>
          <w:rFonts w:eastAsiaTheme="minorEastAsia" w:cstheme="minorBidi"/>
          <w:szCs w:val="22"/>
        </w:rPr>
      </w:pPr>
      <w:r>
        <w:t>High customer acceptance rates</w:t>
      </w:r>
      <w:r w:rsidR="00782550">
        <w:t>, relative to market-rate incentive and loan program</w:t>
      </w:r>
      <w:r w:rsidR="002E0904">
        <w:t>s</w:t>
      </w:r>
    </w:p>
    <w:p w14:paraId="1B19D78C" w14:textId="12A4B890" w:rsidR="00D65357" w:rsidRDefault="001F29CC" w:rsidP="008A11C0">
      <w:pPr>
        <w:pStyle w:val="ListParagraph"/>
        <w:numPr>
          <w:ilvl w:val="0"/>
          <w:numId w:val="17"/>
        </w:numPr>
        <w:spacing w:before="80" w:line="276" w:lineRule="auto"/>
        <w:rPr>
          <w:rFonts w:eastAsiaTheme="minorEastAsia" w:cstheme="minorBidi"/>
          <w:szCs w:val="22"/>
        </w:rPr>
      </w:pPr>
      <w:r>
        <w:t xml:space="preserve">Expanded flexibility to support </w:t>
      </w:r>
      <w:r w:rsidR="002241F4">
        <w:t xml:space="preserve">comprehensive project work scopes </w:t>
      </w:r>
      <w:r>
        <w:t xml:space="preserve">that maximize customer bill savings and </w:t>
      </w:r>
      <w:r w:rsidR="002241F4">
        <w:t>GHG reductions</w:t>
      </w:r>
    </w:p>
    <w:p w14:paraId="496ED9F8" w14:textId="61957D48" w:rsidR="00D65357" w:rsidRPr="007C3A79" w:rsidRDefault="00D65357" w:rsidP="008A11C0">
      <w:pPr>
        <w:pStyle w:val="ListParagraph"/>
        <w:numPr>
          <w:ilvl w:val="0"/>
          <w:numId w:val="17"/>
        </w:numPr>
        <w:spacing w:before="80" w:line="276" w:lineRule="auto"/>
        <w:rPr>
          <w:rFonts w:eastAsiaTheme="minorEastAsia" w:cstheme="minorBidi"/>
          <w:szCs w:val="22"/>
        </w:rPr>
      </w:pPr>
      <w:r>
        <w:t>Low financial risks to both customers and the utility, translating to low cost of capital</w:t>
      </w:r>
    </w:p>
    <w:p w14:paraId="3EF42918" w14:textId="1B4B12A9" w:rsidR="007C3A79" w:rsidRDefault="007C3A79" w:rsidP="008A11C0">
      <w:pPr>
        <w:pStyle w:val="ListParagraph"/>
        <w:numPr>
          <w:ilvl w:val="0"/>
          <w:numId w:val="17"/>
        </w:numPr>
        <w:spacing w:before="80" w:line="276" w:lineRule="auto"/>
        <w:rPr>
          <w:rFonts w:eastAsiaTheme="minorEastAsia" w:cstheme="minorBidi"/>
          <w:szCs w:val="22"/>
        </w:rPr>
      </w:pPr>
      <w:r>
        <w:t>Expanded private capital investment to complement public funding and accelerate</w:t>
      </w:r>
      <w:r w:rsidR="006C51B6">
        <w:t xml:space="preserve"> overall adoption</w:t>
      </w:r>
    </w:p>
    <w:p w14:paraId="3CB5BA98" w14:textId="3F7202F0" w:rsidR="00CF34AA" w:rsidRDefault="44D76421" w:rsidP="727BFE15">
      <w:pPr>
        <w:tabs>
          <w:tab w:val="left" w:pos="1680"/>
        </w:tabs>
        <w:spacing w:before="0" w:line="276" w:lineRule="auto"/>
        <w:rPr>
          <w:rFonts w:eastAsia="Times New Roman"/>
        </w:rPr>
      </w:pPr>
      <w:r w:rsidRPr="727BFE15">
        <w:rPr>
          <w:rFonts w:eastAsia="Times New Roman"/>
        </w:rPr>
        <w:t xml:space="preserve">In support of this goal, the </w:t>
      </w:r>
      <w:r w:rsidR="19D9C376" w:rsidRPr="727BFE15">
        <w:rPr>
          <w:rFonts w:eastAsia="Times New Roman"/>
        </w:rPr>
        <w:t>Program</w:t>
      </w:r>
      <w:r w:rsidRPr="727BFE15">
        <w:rPr>
          <w:rFonts w:eastAsia="Times New Roman"/>
        </w:rPr>
        <w:t xml:space="preserve"> Plan adopts</w:t>
      </w:r>
      <w:r w:rsidR="4B560D02" w:rsidRPr="727BFE15">
        <w:rPr>
          <w:rFonts w:eastAsia="Times New Roman"/>
        </w:rPr>
        <w:t xml:space="preserve"> as its </w:t>
      </w:r>
      <w:r w:rsidR="61F3B746" w:rsidRPr="727BFE15">
        <w:rPr>
          <w:rFonts w:eastAsia="Times New Roman"/>
        </w:rPr>
        <w:t>design criteria</w:t>
      </w:r>
      <w:r w:rsidR="4B560D02" w:rsidRPr="727BFE15">
        <w:rPr>
          <w:rFonts w:eastAsia="Times New Roman"/>
        </w:rPr>
        <w:t xml:space="preserve"> the priorities and guidance provided in the </w:t>
      </w:r>
      <w:r w:rsidR="750ABACA" w:rsidRPr="727BFE15">
        <w:rPr>
          <w:rFonts w:eastAsia="Times New Roman"/>
        </w:rPr>
        <w:t>Commissioner’s Amended Scoping Memo and Ruling (</w:t>
      </w:r>
      <w:r w:rsidR="4B560D02" w:rsidRPr="727BFE15">
        <w:rPr>
          <w:rFonts w:eastAsia="Times New Roman"/>
        </w:rPr>
        <w:t>ACR</w:t>
      </w:r>
      <w:r w:rsidR="750ABACA" w:rsidRPr="727BFE15">
        <w:rPr>
          <w:rFonts w:eastAsia="Times New Roman"/>
        </w:rPr>
        <w:t>)</w:t>
      </w:r>
      <w:r w:rsidR="4B560D02" w:rsidRPr="727BFE15">
        <w:rPr>
          <w:rFonts w:eastAsia="Times New Roman"/>
        </w:rPr>
        <w:t>:</w:t>
      </w:r>
    </w:p>
    <w:p w14:paraId="74443DF8" w14:textId="7A4B4589" w:rsidR="002A266A" w:rsidRPr="00697C95" w:rsidRDefault="377A653D"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 xml:space="preserve">Comprehensive </w:t>
      </w:r>
      <w:r w:rsidR="2BB24FFB" w:rsidRPr="727BFE15">
        <w:rPr>
          <w:rFonts w:eastAsia="Times New Roman"/>
          <w:b/>
          <w:bCs/>
        </w:rPr>
        <w:t>d</w:t>
      </w:r>
      <w:r w:rsidRPr="727BFE15">
        <w:rPr>
          <w:rFonts w:eastAsia="Times New Roman"/>
          <w:b/>
          <w:bCs/>
        </w:rPr>
        <w:t>ecarboniz</w:t>
      </w:r>
      <w:r w:rsidR="716A3360" w:rsidRPr="727BFE15">
        <w:rPr>
          <w:rFonts w:eastAsia="Times New Roman"/>
          <w:b/>
          <w:bCs/>
        </w:rPr>
        <w:t>a</w:t>
      </w:r>
      <w:r w:rsidRPr="727BFE15">
        <w:rPr>
          <w:rFonts w:eastAsia="Times New Roman"/>
          <w:b/>
          <w:bCs/>
        </w:rPr>
        <w:t>tion.</w:t>
      </w:r>
      <w:r w:rsidRPr="727BFE15">
        <w:rPr>
          <w:rFonts w:eastAsia="Times New Roman"/>
        </w:rPr>
        <w:t xml:space="preserve"> </w:t>
      </w:r>
      <w:r w:rsidR="716A3360" w:rsidRPr="727BFE15">
        <w:rPr>
          <w:rFonts w:eastAsia="Times New Roman"/>
        </w:rPr>
        <w:t xml:space="preserve">The </w:t>
      </w:r>
      <w:r w:rsidR="19D9C376" w:rsidRPr="727BFE15">
        <w:rPr>
          <w:rFonts w:eastAsia="Times New Roman"/>
        </w:rPr>
        <w:t>Program</w:t>
      </w:r>
      <w:r w:rsidR="716A3360" w:rsidRPr="727BFE15">
        <w:rPr>
          <w:rFonts w:eastAsia="Times New Roman"/>
        </w:rPr>
        <w:t xml:space="preserve"> will</w:t>
      </w:r>
      <w:r w:rsidRPr="727BFE15">
        <w:rPr>
          <w:rFonts w:eastAsia="Times New Roman"/>
        </w:rPr>
        <w:t xml:space="preserve"> expand the current</w:t>
      </w:r>
      <w:r w:rsidR="716A3360" w:rsidRPr="727BFE15">
        <w:rPr>
          <w:rFonts w:eastAsia="Times New Roman"/>
        </w:rPr>
        <w:t xml:space="preserve"> </w:t>
      </w:r>
      <w:r w:rsidR="2BB24FFB" w:rsidRPr="727BFE15">
        <w:rPr>
          <w:rFonts w:eastAsia="Times New Roman"/>
        </w:rPr>
        <w:t>investor-owned</w:t>
      </w:r>
      <w:r w:rsidR="79285F8C" w:rsidRPr="727BFE15">
        <w:rPr>
          <w:rFonts w:eastAsia="Times New Roman"/>
        </w:rPr>
        <w:t xml:space="preserve">-utilities’ (IOU) </w:t>
      </w:r>
      <w:r w:rsidRPr="727BFE15">
        <w:rPr>
          <w:rFonts w:eastAsia="Times New Roman"/>
        </w:rPr>
        <w:t xml:space="preserve">ratepayer-funded programs’ </w:t>
      </w:r>
      <w:r w:rsidR="79285F8C" w:rsidRPr="727BFE15">
        <w:rPr>
          <w:rFonts w:eastAsia="Times New Roman"/>
        </w:rPr>
        <w:t xml:space="preserve">scope </w:t>
      </w:r>
      <w:r w:rsidRPr="727BFE15">
        <w:rPr>
          <w:rFonts w:eastAsia="Times New Roman"/>
        </w:rPr>
        <w:t>beyond energy</w:t>
      </w:r>
      <w:r w:rsidR="716A3360" w:rsidRPr="727BFE15">
        <w:rPr>
          <w:rFonts w:eastAsia="Times New Roman"/>
        </w:rPr>
        <w:t xml:space="preserve"> </w:t>
      </w:r>
      <w:r w:rsidRPr="727BFE15">
        <w:rPr>
          <w:rFonts w:eastAsia="Times New Roman"/>
        </w:rPr>
        <w:t xml:space="preserve">efficiency and </w:t>
      </w:r>
      <w:r w:rsidR="5ED0F975" w:rsidRPr="727BFE15">
        <w:rPr>
          <w:rFonts w:eastAsia="Times New Roman"/>
        </w:rPr>
        <w:t xml:space="preserve">use </w:t>
      </w:r>
      <w:r w:rsidRPr="727BFE15">
        <w:rPr>
          <w:rFonts w:eastAsia="Times New Roman"/>
        </w:rPr>
        <w:t>other commercially viable</w:t>
      </w:r>
      <w:r w:rsidR="716A3360" w:rsidRPr="727BFE15">
        <w:rPr>
          <w:rFonts w:eastAsia="Times New Roman"/>
        </w:rPr>
        <w:t xml:space="preserve"> </w:t>
      </w:r>
      <w:r w:rsidRPr="727BFE15">
        <w:rPr>
          <w:rFonts w:eastAsia="Times New Roman"/>
        </w:rPr>
        <w:t>technologies to broadly address California’s</w:t>
      </w:r>
      <w:r w:rsidR="716A3360" w:rsidRPr="727BFE15">
        <w:rPr>
          <w:rFonts w:eastAsia="Times New Roman"/>
        </w:rPr>
        <w:t xml:space="preserve"> </w:t>
      </w:r>
      <w:r w:rsidRPr="727BFE15">
        <w:rPr>
          <w:rFonts w:eastAsia="Times New Roman"/>
        </w:rPr>
        <w:t>economy-wide decarbonization and greenhouse gas</w:t>
      </w:r>
      <w:r w:rsidR="716A3360" w:rsidRPr="727BFE15">
        <w:rPr>
          <w:rFonts w:eastAsia="Times New Roman"/>
        </w:rPr>
        <w:t xml:space="preserve"> </w:t>
      </w:r>
      <w:r w:rsidRPr="727BFE15">
        <w:rPr>
          <w:rFonts w:eastAsia="Times New Roman"/>
        </w:rPr>
        <w:t xml:space="preserve">reduction goals, </w:t>
      </w:r>
      <w:r w:rsidR="5ED0F975" w:rsidRPr="727BFE15">
        <w:rPr>
          <w:rFonts w:eastAsia="Times New Roman"/>
        </w:rPr>
        <w:t xml:space="preserve">and </w:t>
      </w:r>
      <w:r w:rsidRPr="727BFE15">
        <w:rPr>
          <w:rFonts w:eastAsia="Times New Roman"/>
        </w:rPr>
        <w:t xml:space="preserve">resiliency, </w:t>
      </w:r>
      <w:r w:rsidR="48568656" w:rsidRPr="727BFE15">
        <w:rPr>
          <w:rFonts w:eastAsia="Times New Roman"/>
        </w:rPr>
        <w:t xml:space="preserve">while </w:t>
      </w:r>
      <w:r w:rsidRPr="727BFE15">
        <w:rPr>
          <w:rFonts w:eastAsia="Times New Roman"/>
        </w:rPr>
        <w:t>offer</w:t>
      </w:r>
      <w:r w:rsidR="48568656" w:rsidRPr="727BFE15">
        <w:rPr>
          <w:rFonts w:eastAsia="Times New Roman"/>
        </w:rPr>
        <w:t>ing</w:t>
      </w:r>
      <w:r w:rsidRPr="727BFE15">
        <w:rPr>
          <w:rFonts w:eastAsia="Times New Roman"/>
        </w:rPr>
        <w:t xml:space="preserve"> different program</w:t>
      </w:r>
      <w:r w:rsidR="716A3360" w:rsidRPr="727BFE15">
        <w:rPr>
          <w:rFonts w:eastAsia="Times New Roman"/>
        </w:rPr>
        <w:t xml:space="preserve"> </w:t>
      </w:r>
      <w:r w:rsidRPr="727BFE15">
        <w:rPr>
          <w:rFonts w:eastAsia="Times New Roman"/>
        </w:rPr>
        <w:t>options that meet the needs of various customer types.</w:t>
      </w:r>
    </w:p>
    <w:p w14:paraId="638EC4B7" w14:textId="34400071" w:rsidR="003265D9" w:rsidRDefault="2CC9A0F7"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Leverage.</w:t>
      </w:r>
      <w:r w:rsidRPr="727BFE15">
        <w:rPr>
          <w:rFonts w:eastAsia="Times New Roman"/>
        </w:rPr>
        <w:t xml:space="preserve"> The TO</w:t>
      </w:r>
      <w:r w:rsidR="48568656" w:rsidRPr="727BFE15">
        <w:rPr>
          <w:rFonts w:eastAsia="Times New Roman"/>
        </w:rPr>
        <w:t>B</w:t>
      </w:r>
      <w:r w:rsidRPr="727BFE15">
        <w:rPr>
          <w:rFonts w:eastAsia="Times New Roman"/>
        </w:rPr>
        <w:t xml:space="preserve"> </w:t>
      </w:r>
      <w:r w:rsidR="19D9C376" w:rsidRPr="727BFE15">
        <w:rPr>
          <w:rFonts w:eastAsia="Times New Roman"/>
        </w:rPr>
        <w:t>Program</w:t>
      </w:r>
      <w:r w:rsidRPr="727BFE15">
        <w:rPr>
          <w:rFonts w:eastAsia="Times New Roman"/>
        </w:rPr>
        <w:t xml:space="preserve"> will </w:t>
      </w:r>
      <w:r w:rsidR="377A653D" w:rsidRPr="727BFE15">
        <w:rPr>
          <w:rFonts w:eastAsia="Times New Roman"/>
        </w:rPr>
        <w:t>attract</w:t>
      </w:r>
      <w:r w:rsidRPr="727BFE15">
        <w:rPr>
          <w:rFonts w:eastAsia="Times New Roman"/>
        </w:rPr>
        <w:t xml:space="preserve"> </w:t>
      </w:r>
      <w:r w:rsidR="377A653D" w:rsidRPr="727BFE15">
        <w:rPr>
          <w:rFonts w:eastAsia="Times New Roman"/>
        </w:rPr>
        <w:t>third-party investment</w:t>
      </w:r>
      <w:r w:rsidR="208CFFD7" w:rsidRPr="727BFE15">
        <w:rPr>
          <w:rFonts w:eastAsia="Times New Roman"/>
        </w:rPr>
        <w:t xml:space="preserve"> to expand and accelerate</w:t>
      </w:r>
      <w:r w:rsidR="42796D18" w:rsidRPr="727BFE15">
        <w:rPr>
          <w:rFonts w:eastAsia="Times New Roman"/>
        </w:rPr>
        <w:t xml:space="preserve"> ratepayer-funded</w:t>
      </w:r>
      <w:r w:rsidR="48568656" w:rsidRPr="727BFE15">
        <w:rPr>
          <w:rFonts w:eastAsia="Times New Roman"/>
        </w:rPr>
        <w:t>,</w:t>
      </w:r>
      <w:r w:rsidR="42796D18" w:rsidRPr="727BFE15">
        <w:rPr>
          <w:rFonts w:eastAsia="Times New Roman"/>
        </w:rPr>
        <w:t xml:space="preserve"> clean</w:t>
      </w:r>
      <w:r w:rsidR="48568656" w:rsidRPr="727BFE15">
        <w:rPr>
          <w:rFonts w:eastAsia="Times New Roman"/>
        </w:rPr>
        <w:t>-</w:t>
      </w:r>
      <w:r w:rsidR="42796D18" w:rsidRPr="727BFE15">
        <w:rPr>
          <w:rFonts w:eastAsia="Times New Roman"/>
        </w:rPr>
        <w:t>energy investments.</w:t>
      </w:r>
    </w:p>
    <w:p w14:paraId="747E7B7E" w14:textId="5935BCCC" w:rsidR="004B10B4" w:rsidRPr="00697C95" w:rsidRDefault="2B3ECA52"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Scalability.</w:t>
      </w:r>
      <w:r w:rsidRPr="727BFE15">
        <w:rPr>
          <w:rFonts w:eastAsia="Times New Roman"/>
        </w:rPr>
        <w:t xml:space="preserve"> The </w:t>
      </w:r>
      <w:r w:rsidR="19D9C376" w:rsidRPr="727BFE15">
        <w:rPr>
          <w:rFonts w:eastAsia="Times New Roman"/>
        </w:rPr>
        <w:t>Program</w:t>
      </w:r>
      <w:r w:rsidRPr="727BFE15">
        <w:rPr>
          <w:rFonts w:eastAsia="Times New Roman"/>
        </w:rPr>
        <w:t xml:space="preserve"> will </w:t>
      </w:r>
      <w:r w:rsidR="02A7544B" w:rsidRPr="727BFE15">
        <w:rPr>
          <w:rFonts w:eastAsia="Times New Roman"/>
        </w:rPr>
        <w:t xml:space="preserve">demonstrate a </w:t>
      </w:r>
      <w:r w:rsidR="48568656" w:rsidRPr="727BFE15">
        <w:rPr>
          <w:rFonts w:eastAsia="Times New Roman"/>
        </w:rPr>
        <w:t xml:space="preserve">scalability </w:t>
      </w:r>
      <w:r w:rsidR="02A7544B" w:rsidRPr="727BFE15">
        <w:rPr>
          <w:rFonts w:eastAsia="Times New Roman"/>
        </w:rPr>
        <w:t>pathway</w:t>
      </w:r>
      <w:r w:rsidR="208CFFD7" w:rsidRPr="727BFE15">
        <w:rPr>
          <w:rFonts w:eastAsia="Times New Roman"/>
        </w:rPr>
        <w:t xml:space="preserve"> to serve millions of California households</w:t>
      </w:r>
      <w:r w:rsidR="02A7544B" w:rsidRPr="727BFE15">
        <w:rPr>
          <w:rFonts w:eastAsia="Times New Roman"/>
        </w:rPr>
        <w:t>.</w:t>
      </w:r>
    </w:p>
    <w:p w14:paraId="215083EF" w14:textId="5C7F025E" w:rsidR="002A266A" w:rsidRPr="00697C95" w:rsidRDefault="3330375B"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 xml:space="preserve">Customer </w:t>
      </w:r>
      <w:r w:rsidR="4B88DCD3" w:rsidRPr="727BFE15">
        <w:rPr>
          <w:rFonts w:eastAsia="Times New Roman"/>
          <w:b/>
          <w:bCs/>
        </w:rPr>
        <w:t>p</w:t>
      </w:r>
      <w:r w:rsidRPr="727BFE15">
        <w:rPr>
          <w:rFonts w:eastAsia="Times New Roman"/>
          <w:b/>
          <w:bCs/>
        </w:rPr>
        <w:t>rotection.</w:t>
      </w:r>
      <w:r w:rsidRPr="727BFE15">
        <w:rPr>
          <w:rFonts w:eastAsia="Times New Roman"/>
        </w:rPr>
        <w:t xml:space="preserve"> The</w:t>
      </w:r>
      <w:r w:rsidR="6925D5FE" w:rsidRPr="727BFE15">
        <w:rPr>
          <w:rFonts w:eastAsia="Times New Roman"/>
        </w:rPr>
        <w:t xml:space="preserve"> </w:t>
      </w:r>
      <w:r w:rsidR="53977921" w:rsidRPr="727BFE15">
        <w:rPr>
          <w:rFonts w:eastAsia="Times New Roman"/>
        </w:rPr>
        <w:t>Program</w:t>
      </w:r>
      <w:r w:rsidRPr="727BFE15">
        <w:rPr>
          <w:rFonts w:eastAsia="Times New Roman"/>
        </w:rPr>
        <w:t xml:space="preserve"> will </w:t>
      </w:r>
      <w:r w:rsidR="6925D5FE" w:rsidRPr="727BFE15">
        <w:rPr>
          <w:rFonts w:eastAsia="Times New Roman"/>
        </w:rPr>
        <w:t xml:space="preserve">protect </w:t>
      </w:r>
      <w:r w:rsidR="4B88DCD3" w:rsidRPr="727BFE15">
        <w:rPr>
          <w:rFonts w:eastAsia="Times New Roman"/>
        </w:rPr>
        <w:t>customers from</w:t>
      </w:r>
      <w:r w:rsidR="6925D5FE" w:rsidRPr="727BFE15">
        <w:rPr>
          <w:rFonts w:eastAsia="Times New Roman"/>
        </w:rPr>
        <w:t xml:space="preserve"> </w:t>
      </w:r>
      <w:r w:rsidR="45970F66" w:rsidRPr="727BFE15">
        <w:rPr>
          <w:rFonts w:eastAsia="Times New Roman"/>
        </w:rPr>
        <w:t xml:space="preserve">many of </w:t>
      </w:r>
      <w:r w:rsidR="6925D5FE" w:rsidRPr="727BFE15">
        <w:rPr>
          <w:rFonts w:eastAsia="Times New Roman"/>
        </w:rPr>
        <w:t>the</w:t>
      </w:r>
      <w:r w:rsidRPr="727BFE15">
        <w:rPr>
          <w:rFonts w:eastAsia="Times New Roman"/>
        </w:rPr>
        <w:t xml:space="preserve"> </w:t>
      </w:r>
      <w:r w:rsidR="45970F66" w:rsidRPr="727BFE15">
        <w:rPr>
          <w:rFonts w:eastAsia="Times New Roman"/>
        </w:rPr>
        <w:t xml:space="preserve">risks </w:t>
      </w:r>
      <w:r w:rsidR="4B88DCD3" w:rsidRPr="727BFE15">
        <w:rPr>
          <w:rFonts w:eastAsia="Times New Roman"/>
        </w:rPr>
        <w:t xml:space="preserve">they might </w:t>
      </w:r>
      <w:r w:rsidR="79AE5EF8" w:rsidRPr="727BFE15">
        <w:rPr>
          <w:rFonts w:eastAsia="Times New Roman"/>
        </w:rPr>
        <w:t xml:space="preserve">face from consumer loans, </w:t>
      </w:r>
      <w:r w:rsidR="7C0B518F" w:rsidRPr="727BFE15">
        <w:rPr>
          <w:rFonts w:eastAsia="Times New Roman"/>
        </w:rPr>
        <w:t>particularly</w:t>
      </w:r>
      <w:r w:rsidR="79AE5EF8" w:rsidRPr="727BFE15">
        <w:rPr>
          <w:rFonts w:eastAsia="Times New Roman"/>
        </w:rPr>
        <w:t xml:space="preserve"> </w:t>
      </w:r>
      <w:r w:rsidR="237125B5" w:rsidRPr="727BFE15">
        <w:rPr>
          <w:rFonts w:eastAsia="Times New Roman"/>
        </w:rPr>
        <w:t>default penalties</w:t>
      </w:r>
      <w:r w:rsidR="40D6497E" w:rsidRPr="727BFE15">
        <w:rPr>
          <w:rFonts w:eastAsia="Times New Roman"/>
        </w:rPr>
        <w:t xml:space="preserve">, predatory </w:t>
      </w:r>
      <w:r w:rsidR="7C0B518F" w:rsidRPr="727BFE15">
        <w:rPr>
          <w:rFonts w:eastAsia="Times New Roman"/>
        </w:rPr>
        <w:t xml:space="preserve">lending </w:t>
      </w:r>
      <w:r w:rsidR="40D6497E" w:rsidRPr="727BFE15">
        <w:rPr>
          <w:rFonts w:eastAsia="Times New Roman"/>
        </w:rPr>
        <w:t>practices,</w:t>
      </w:r>
      <w:r w:rsidR="237125B5" w:rsidRPr="727BFE15">
        <w:rPr>
          <w:rFonts w:eastAsia="Times New Roman"/>
        </w:rPr>
        <w:t xml:space="preserve"> and </w:t>
      </w:r>
      <w:r w:rsidR="7074CED3" w:rsidRPr="727BFE15">
        <w:rPr>
          <w:rFonts w:eastAsia="Times New Roman"/>
        </w:rPr>
        <w:t>poor equipment performance</w:t>
      </w:r>
      <w:r w:rsidR="6925D5FE" w:rsidRPr="727BFE15">
        <w:rPr>
          <w:rFonts w:eastAsia="Times New Roman"/>
        </w:rPr>
        <w:t>.</w:t>
      </w:r>
    </w:p>
    <w:p w14:paraId="2A99C99B" w14:textId="40A4CCD0" w:rsidR="00721B7B" w:rsidRPr="00697C95" w:rsidRDefault="0872E327"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Affordability.</w:t>
      </w:r>
      <w:r w:rsidRPr="727BFE15">
        <w:rPr>
          <w:rFonts w:eastAsia="Times New Roman"/>
        </w:rPr>
        <w:t xml:space="preserve"> The </w:t>
      </w:r>
      <w:r w:rsidR="19D9C376" w:rsidRPr="727BFE15">
        <w:rPr>
          <w:rFonts w:eastAsia="Times New Roman"/>
        </w:rPr>
        <w:t>Program</w:t>
      </w:r>
      <w:r w:rsidRPr="727BFE15">
        <w:rPr>
          <w:rFonts w:eastAsia="Times New Roman"/>
        </w:rPr>
        <w:t xml:space="preserve"> will result in lower utility bills for participants and minimize cost shifts between participants and nonparticipant ratepayers.</w:t>
      </w:r>
    </w:p>
    <w:p w14:paraId="72C6E284" w14:textId="1DC30B0F" w:rsidR="00EB0AA4" w:rsidRPr="00697C95" w:rsidRDefault="202E5AF5"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 xml:space="preserve">Support of California’s </w:t>
      </w:r>
      <w:r w:rsidR="7C0B518F" w:rsidRPr="727BFE15">
        <w:rPr>
          <w:rFonts w:eastAsia="Times New Roman"/>
          <w:b/>
          <w:bCs/>
        </w:rPr>
        <w:t>c</w:t>
      </w:r>
      <w:r w:rsidRPr="727BFE15">
        <w:rPr>
          <w:rFonts w:eastAsia="Times New Roman"/>
          <w:b/>
          <w:bCs/>
        </w:rPr>
        <w:t>lean</w:t>
      </w:r>
      <w:r w:rsidR="7C0B518F" w:rsidRPr="727BFE15">
        <w:rPr>
          <w:rFonts w:eastAsia="Times New Roman"/>
          <w:b/>
          <w:bCs/>
        </w:rPr>
        <w:t>-e</w:t>
      </w:r>
      <w:r w:rsidRPr="727BFE15">
        <w:rPr>
          <w:rFonts w:eastAsia="Times New Roman"/>
          <w:b/>
          <w:bCs/>
        </w:rPr>
        <w:t xml:space="preserve">nergy </w:t>
      </w:r>
      <w:r w:rsidR="7C0B518F" w:rsidRPr="727BFE15">
        <w:rPr>
          <w:rFonts w:eastAsia="Times New Roman"/>
          <w:b/>
          <w:bCs/>
        </w:rPr>
        <w:t>g</w:t>
      </w:r>
      <w:r w:rsidRPr="727BFE15">
        <w:rPr>
          <w:rFonts w:eastAsia="Times New Roman"/>
          <w:b/>
          <w:bCs/>
        </w:rPr>
        <w:t>oals.</w:t>
      </w:r>
      <w:r w:rsidRPr="727BFE15">
        <w:rPr>
          <w:rFonts w:eastAsia="Times New Roman"/>
        </w:rPr>
        <w:t xml:space="preserve"> The </w:t>
      </w:r>
      <w:r w:rsidR="19D9C376" w:rsidRPr="727BFE15">
        <w:rPr>
          <w:rFonts w:eastAsia="Times New Roman"/>
        </w:rPr>
        <w:t>Program</w:t>
      </w:r>
      <w:r w:rsidRPr="727BFE15">
        <w:rPr>
          <w:rFonts w:eastAsia="Times New Roman"/>
        </w:rPr>
        <w:t xml:space="preserve"> </w:t>
      </w:r>
      <w:r w:rsidR="540E1996" w:rsidRPr="727BFE15">
        <w:rPr>
          <w:rFonts w:eastAsia="Times New Roman"/>
        </w:rPr>
        <w:t xml:space="preserve">will contribute to </w:t>
      </w:r>
      <w:r w:rsidR="377A653D" w:rsidRPr="727BFE15">
        <w:rPr>
          <w:rFonts w:eastAsia="Times New Roman"/>
        </w:rPr>
        <w:t xml:space="preserve">the </w:t>
      </w:r>
      <w:r w:rsidR="7C0B518F" w:rsidRPr="727BFE15">
        <w:rPr>
          <w:rFonts w:eastAsia="Times New Roman"/>
        </w:rPr>
        <w:t>S</w:t>
      </w:r>
      <w:r w:rsidR="377A653D" w:rsidRPr="727BFE15">
        <w:rPr>
          <w:rFonts w:eastAsia="Times New Roman"/>
        </w:rPr>
        <w:t>tate’s clean energy goals by lower</w:t>
      </w:r>
      <w:r w:rsidR="540E1996" w:rsidRPr="727BFE15">
        <w:rPr>
          <w:rFonts w:eastAsia="Times New Roman"/>
        </w:rPr>
        <w:t xml:space="preserve">ing </w:t>
      </w:r>
      <w:r w:rsidR="377A653D" w:rsidRPr="727BFE15">
        <w:rPr>
          <w:rFonts w:eastAsia="Times New Roman"/>
        </w:rPr>
        <w:t>emissions, increasing the adoption of clean</w:t>
      </w:r>
      <w:r w:rsidR="7C0B518F" w:rsidRPr="727BFE15">
        <w:rPr>
          <w:rFonts w:eastAsia="Times New Roman"/>
        </w:rPr>
        <w:t>-</w:t>
      </w:r>
      <w:r w:rsidR="377A653D" w:rsidRPr="727BFE15">
        <w:rPr>
          <w:rFonts w:eastAsia="Times New Roman"/>
        </w:rPr>
        <w:t>energy</w:t>
      </w:r>
      <w:r w:rsidR="61F4064E" w:rsidRPr="727BFE15">
        <w:rPr>
          <w:rFonts w:eastAsia="Times New Roman"/>
        </w:rPr>
        <w:t xml:space="preserve"> </w:t>
      </w:r>
      <w:r w:rsidR="377A653D" w:rsidRPr="727BFE15">
        <w:rPr>
          <w:rFonts w:eastAsia="Times New Roman"/>
        </w:rPr>
        <w:t>technologies, and reducing the use of fossil</w:t>
      </w:r>
      <w:r w:rsidR="7C0B518F" w:rsidRPr="727BFE15">
        <w:rPr>
          <w:rFonts w:eastAsia="Times New Roman"/>
        </w:rPr>
        <w:t>-</w:t>
      </w:r>
      <w:r w:rsidR="377A653D" w:rsidRPr="727BFE15">
        <w:rPr>
          <w:rFonts w:eastAsia="Times New Roman"/>
        </w:rPr>
        <w:t>fueled</w:t>
      </w:r>
      <w:r w:rsidR="4233E13E" w:rsidRPr="727BFE15">
        <w:rPr>
          <w:rFonts w:eastAsia="Times New Roman"/>
        </w:rPr>
        <w:t xml:space="preserve"> </w:t>
      </w:r>
      <w:r w:rsidR="377A653D" w:rsidRPr="727BFE15">
        <w:rPr>
          <w:rFonts w:eastAsia="Times New Roman"/>
        </w:rPr>
        <w:t xml:space="preserve">energy. </w:t>
      </w:r>
    </w:p>
    <w:p w14:paraId="0747713A" w14:textId="667E40FF" w:rsidR="002A266A" w:rsidRPr="00697C95" w:rsidRDefault="61F4064E"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Transparency.</w:t>
      </w:r>
      <w:r w:rsidRPr="727BFE15">
        <w:rPr>
          <w:rFonts w:eastAsia="Times New Roman"/>
        </w:rPr>
        <w:t xml:space="preserve"> The </w:t>
      </w:r>
      <w:r w:rsidR="19D9C376" w:rsidRPr="727BFE15">
        <w:rPr>
          <w:rFonts w:eastAsia="Times New Roman"/>
        </w:rPr>
        <w:t>Program</w:t>
      </w:r>
      <w:r w:rsidRPr="727BFE15">
        <w:rPr>
          <w:rFonts w:eastAsia="Times New Roman"/>
        </w:rPr>
        <w:t xml:space="preserve"> will</w:t>
      </w:r>
      <w:r w:rsidR="377A653D" w:rsidRPr="727BFE15">
        <w:rPr>
          <w:rFonts w:eastAsia="Times New Roman"/>
        </w:rPr>
        <w:t xml:space="preserve"> ensure that</w:t>
      </w:r>
      <w:r w:rsidRPr="727BFE15">
        <w:rPr>
          <w:rFonts w:eastAsia="Times New Roman"/>
        </w:rPr>
        <w:t xml:space="preserve"> </w:t>
      </w:r>
      <w:r w:rsidR="377A653D" w:rsidRPr="727BFE15">
        <w:rPr>
          <w:rFonts w:eastAsia="Times New Roman"/>
        </w:rPr>
        <w:t>customers are informed enough to determine which clean</w:t>
      </w:r>
      <w:r w:rsidR="7C0B518F" w:rsidRPr="727BFE15">
        <w:rPr>
          <w:rFonts w:eastAsia="Times New Roman"/>
        </w:rPr>
        <w:t>-</w:t>
      </w:r>
      <w:r w:rsidR="377A653D" w:rsidRPr="727BFE15">
        <w:rPr>
          <w:rFonts w:eastAsia="Times New Roman"/>
        </w:rPr>
        <w:t>energy technologies are most beneficial to them, while</w:t>
      </w:r>
      <w:r w:rsidRPr="727BFE15">
        <w:rPr>
          <w:rFonts w:eastAsia="Times New Roman"/>
        </w:rPr>
        <w:t xml:space="preserve"> </w:t>
      </w:r>
      <w:r w:rsidR="377A653D" w:rsidRPr="727BFE15">
        <w:rPr>
          <w:rFonts w:eastAsia="Times New Roman"/>
        </w:rPr>
        <w:t>tracking the cumulative effects of these benefits toward</w:t>
      </w:r>
      <w:r w:rsidRPr="727BFE15">
        <w:rPr>
          <w:rFonts w:eastAsia="Times New Roman"/>
        </w:rPr>
        <w:t xml:space="preserve"> </w:t>
      </w:r>
      <w:r w:rsidR="377A653D" w:rsidRPr="727BFE15">
        <w:rPr>
          <w:rFonts w:eastAsia="Times New Roman"/>
        </w:rPr>
        <w:t xml:space="preserve">broader </w:t>
      </w:r>
      <w:r w:rsidR="4128EB9F" w:rsidRPr="727BFE15">
        <w:rPr>
          <w:rFonts w:eastAsia="Times New Roman"/>
        </w:rPr>
        <w:t>S</w:t>
      </w:r>
      <w:r w:rsidR="377A653D" w:rsidRPr="727BFE15">
        <w:rPr>
          <w:rFonts w:eastAsia="Times New Roman"/>
        </w:rPr>
        <w:t>tate clean</w:t>
      </w:r>
      <w:r w:rsidR="4128EB9F" w:rsidRPr="727BFE15">
        <w:rPr>
          <w:rFonts w:eastAsia="Times New Roman"/>
        </w:rPr>
        <w:t>-</w:t>
      </w:r>
      <w:r w:rsidR="377A653D" w:rsidRPr="727BFE15">
        <w:rPr>
          <w:rFonts w:eastAsia="Times New Roman"/>
        </w:rPr>
        <w:t>energy policy and other ratepayer</w:t>
      </w:r>
      <w:r w:rsidRPr="727BFE15">
        <w:rPr>
          <w:rFonts w:eastAsia="Times New Roman"/>
        </w:rPr>
        <w:t xml:space="preserve"> </w:t>
      </w:r>
      <w:r w:rsidR="377A653D" w:rsidRPr="727BFE15">
        <w:rPr>
          <w:rFonts w:eastAsia="Times New Roman"/>
        </w:rPr>
        <w:t>goals.</w:t>
      </w:r>
      <w:r w:rsidR="35665F8E" w:rsidRPr="727BFE15">
        <w:rPr>
          <w:rFonts w:eastAsia="Times New Roman"/>
        </w:rPr>
        <w:t xml:space="preserve"> The offer to the customer will be transparent and easy to understand.</w:t>
      </w:r>
    </w:p>
    <w:p w14:paraId="71B66365" w14:textId="67256708" w:rsidR="002427BA" w:rsidRDefault="6D57042D"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Accountability</w:t>
      </w:r>
      <w:r w:rsidRPr="727BFE15">
        <w:rPr>
          <w:rFonts w:eastAsia="Times New Roman"/>
        </w:rPr>
        <w:t xml:space="preserve">. The </w:t>
      </w:r>
      <w:r w:rsidR="19D9C376" w:rsidRPr="727BFE15">
        <w:rPr>
          <w:rFonts w:eastAsia="Times New Roman"/>
        </w:rPr>
        <w:t>Program</w:t>
      </w:r>
      <w:r w:rsidRPr="727BFE15">
        <w:rPr>
          <w:rFonts w:eastAsia="Times New Roman"/>
        </w:rPr>
        <w:t xml:space="preserve"> will incorporate </w:t>
      </w:r>
      <w:r w:rsidR="377A653D" w:rsidRPr="727BFE15">
        <w:rPr>
          <w:rFonts w:eastAsia="Times New Roman"/>
        </w:rPr>
        <w:t>metrics and</w:t>
      </w:r>
      <w:r w:rsidRPr="727BFE15">
        <w:rPr>
          <w:rFonts w:eastAsia="Times New Roman"/>
        </w:rPr>
        <w:t xml:space="preserve"> </w:t>
      </w:r>
      <w:r w:rsidR="377A653D" w:rsidRPr="727BFE15">
        <w:rPr>
          <w:rFonts w:eastAsia="Times New Roman"/>
        </w:rPr>
        <w:t xml:space="preserve">evaluation strategies to ensure the </w:t>
      </w:r>
      <w:r w:rsidR="260E795E" w:rsidRPr="727BFE15">
        <w:rPr>
          <w:rFonts w:eastAsia="Times New Roman"/>
        </w:rPr>
        <w:t>investment solutions are</w:t>
      </w:r>
      <w:r w:rsidR="377A653D" w:rsidRPr="727BFE15">
        <w:rPr>
          <w:rFonts w:eastAsia="Times New Roman"/>
        </w:rPr>
        <w:t xml:space="preserve"> </w:t>
      </w:r>
      <w:r w:rsidR="260E795E" w:rsidRPr="727BFE15">
        <w:rPr>
          <w:rFonts w:eastAsia="Times New Roman"/>
        </w:rPr>
        <w:t>meeting their established goals and targets</w:t>
      </w:r>
      <w:r w:rsidR="4128EB9F" w:rsidRPr="727BFE15">
        <w:rPr>
          <w:rFonts w:eastAsia="Times New Roman"/>
        </w:rPr>
        <w:t>.</w:t>
      </w:r>
      <w:r w:rsidR="4233E13E" w:rsidRPr="727BFE15">
        <w:rPr>
          <w:rFonts w:eastAsia="Times New Roman"/>
        </w:rPr>
        <w:t xml:space="preserve"> </w:t>
      </w:r>
    </w:p>
    <w:p w14:paraId="1C69A266" w14:textId="63D9041D" w:rsidR="002A266A" w:rsidRPr="00697C95" w:rsidRDefault="36D39C0B" w:rsidP="727BFE15">
      <w:pPr>
        <w:pStyle w:val="ListParagraph"/>
        <w:numPr>
          <w:ilvl w:val="0"/>
          <w:numId w:val="48"/>
        </w:numPr>
        <w:tabs>
          <w:tab w:val="left" w:pos="1680"/>
        </w:tabs>
        <w:spacing w:before="0" w:line="276" w:lineRule="auto"/>
        <w:ind w:left="720"/>
        <w:rPr>
          <w:rFonts w:eastAsia="Times New Roman"/>
        </w:rPr>
      </w:pPr>
      <w:r w:rsidRPr="727BFE15">
        <w:rPr>
          <w:rFonts w:eastAsia="Times New Roman"/>
          <w:b/>
          <w:bCs/>
        </w:rPr>
        <w:t>Equity.</w:t>
      </w:r>
      <w:r w:rsidRPr="727BFE15">
        <w:rPr>
          <w:rFonts w:eastAsia="Times New Roman"/>
        </w:rPr>
        <w:t xml:space="preserve"> The </w:t>
      </w:r>
      <w:r w:rsidR="19D9C376" w:rsidRPr="727BFE15">
        <w:rPr>
          <w:rFonts w:eastAsia="Times New Roman"/>
        </w:rPr>
        <w:t>Program</w:t>
      </w:r>
      <w:r w:rsidRPr="727BFE15">
        <w:rPr>
          <w:rFonts w:eastAsia="Times New Roman"/>
        </w:rPr>
        <w:t xml:space="preserve"> will</w:t>
      </w:r>
      <w:r w:rsidR="226930F9" w:rsidRPr="727BFE15">
        <w:rPr>
          <w:rFonts w:eastAsia="Times New Roman"/>
        </w:rPr>
        <w:t xml:space="preserve"> track and report its success in </w:t>
      </w:r>
      <w:r w:rsidR="377A653D" w:rsidRPr="727BFE15">
        <w:rPr>
          <w:rFonts w:eastAsia="Times New Roman"/>
        </w:rPr>
        <w:t xml:space="preserve">increasing access to low- </w:t>
      </w:r>
      <w:r w:rsidR="4128EB9F" w:rsidRPr="727BFE15">
        <w:rPr>
          <w:rFonts w:eastAsia="Times New Roman"/>
        </w:rPr>
        <w:t xml:space="preserve">to </w:t>
      </w:r>
      <w:r w:rsidR="377A653D" w:rsidRPr="727BFE15">
        <w:rPr>
          <w:rFonts w:eastAsia="Times New Roman"/>
        </w:rPr>
        <w:t>moderate-income customers</w:t>
      </w:r>
      <w:r w:rsidR="4128EB9F" w:rsidRPr="727BFE15">
        <w:rPr>
          <w:rFonts w:eastAsia="Times New Roman"/>
        </w:rPr>
        <w:t>,</w:t>
      </w:r>
      <w:r w:rsidR="377A653D" w:rsidRPr="727BFE15">
        <w:rPr>
          <w:rFonts w:eastAsia="Times New Roman"/>
        </w:rPr>
        <w:t xml:space="preserve"> and customers with limited</w:t>
      </w:r>
      <w:r w:rsidR="53701BC5" w:rsidRPr="727BFE15">
        <w:rPr>
          <w:rFonts w:eastAsia="Times New Roman"/>
        </w:rPr>
        <w:t xml:space="preserve"> </w:t>
      </w:r>
      <w:r w:rsidR="377A653D" w:rsidRPr="727BFE15">
        <w:rPr>
          <w:rFonts w:eastAsia="Times New Roman"/>
        </w:rPr>
        <w:t>access to conventional financing options.</w:t>
      </w:r>
    </w:p>
    <w:p w14:paraId="088455FB" w14:textId="4224C539" w:rsidR="00D65357" w:rsidRDefault="667F1CB2" w:rsidP="31B89B5B">
      <w:pPr>
        <w:rPr>
          <w:rFonts w:eastAsia="Lato"/>
        </w:rPr>
      </w:pPr>
      <w:r w:rsidRPr="727BFE15">
        <w:rPr>
          <w:rFonts w:eastAsia="Times New Roman"/>
        </w:rPr>
        <w:t>T</w:t>
      </w:r>
      <w:r w:rsidR="5DD0F1B9" w:rsidRPr="727BFE15">
        <w:rPr>
          <w:rFonts w:eastAsia="Times New Roman"/>
        </w:rPr>
        <w:t xml:space="preserve">he Tariffed On-Bill Investment approach offers benefits that align directly with </w:t>
      </w:r>
      <w:r w:rsidR="47E610C3" w:rsidRPr="727BFE15">
        <w:rPr>
          <w:rFonts w:eastAsia="Times New Roman"/>
        </w:rPr>
        <w:t xml:space="preserve">these </w:t>
      </w:r>
      <w:r w:rsidR="5DD0F1B9" w:rsidRPr="727BFE15">
        <w:rPr>
          <w:rFonts w:eastAsia="Times New Roman"/>
        </w:rPr>
        <w:t>design criteria:</w:t>
      </w:r>
    </w:p>
    <w:p w14:paraId="66002C2F" w14:textId="1B0499D9" w:rsidR="00837335" w:rsidRDefault="0B41F6E1" w:rsidP="727BFE15">
      <w:pPr>
        <w:pStyle w:val="ListParagraph"/>
        <w:numPr>
          <w:ilvl w:val="0"/>
          <w:numId w:val="14"/>
        </w:numPr>
        <w:tabs>
          <w:tab w:val="left" w:pos="1680"/>
        </w:tabs>
        <w:spacing w:line="276" w:lineRule="auto"/>
        <w:rPr>
          <w:rFonts w:eastAsiaTheme="minorEastAsia" w:cstheme="minorBidi"/>
        </w:rPr>
      </w:pPr>
      <w:r w:rsidRPr="727BFE15">
        <w:rPr>
          <w:rFonts w:eastAsiaTheme="minorEastAsia" w:cstheme="minorBidi"/>
        </w:rPr>
        <w:t>TOB is a technology-neutral</w:t>
      </w:r>
      <w:r w:rsidR="104CC6EF" w:rsidRPr="727BFE15">
        <w:rPr>
          <w:rFonts w:eastAsiaTheme="minorEastAsia" w:cstheme="minorBidi"/>
        </w:rPr>
        <w:t>,</w:t>
      </w:r>
      <w:r w:rsidRPr="727BFE15">
        <w:rPr>
          <w:rFonts w:eastAsiaTheme="minorEastAsia" w:cstheme="minorBidi"/>
        </w:rPr>
        <w:t xml:space="preserve"> inclusive investment solution for </w:t>
      </w:r>
      <w:r w:rsidR="5FE5A97E" w:rsidRPr="727BFE15">
        <w:rPr>
          <w:rFonts w:eastAsiaTheme="minorEastAsia" w:cstheme="minorBidi"/>
        </w:rPr>
        <w:t>customer-facing</w:t>
      </w:r>
      <w:r w:rsidRPr="727BFE15">
        <w:rPr>
          <w:rFonts w:eastAsiaTheme="minorEastAsia" w:cstheme="minorBidi"/>
        </w:rPr>
        <w:t xml:space="preserve"> decarbonization upgrades</w:t>
      </w:r>
      <w:r w:rsidR="5FE5A97E" w:rsidRPr="727BFE15">
        <w:rPr>
          <w:rFonts w:eastAsiaTheme="minorEastAsia" w:cstheme="minorBidi"/>
        </w:rPr>
        <w:t xml:space="preserve">, </w:t>
      </w:r>
      <w:r w:rsidR="2868DE16" w:rsidRPr="727BFE15">
        <w:rPr>
          <w:rFonts w:eastAsiaTheme="minorEastAsia" w:cstheme="minorBidi"/>
        </w:rPr>
        <w:t xml:space="preserve">particularly </w:t>
      </w:r>
      <w:r w:rsidR="5FE5A97E" w:rsidRPr="727BFE15">
        <w:rPr>
          <w:rFonts w:eastAsiaTheme="minorEastAsia" w:cstheme="minorBidi"/>
        </w:rPr>
        <w:t>energy efficiency building electrification, rooftop solar, and energy storage. Any improvement that</w:t>
      </w:r>
      <w:r w:rsidR="6F1ABFC3" w:rsidRPr="727BFE15">
        <w:rPr>
          <w:rFonts w:eastAsiaTheme="minorEastAsia" w:cstheme="minorBidi"/>
        </w:rPr>
        <w:t xml:space="preserve"> contributes to lowering the customer’s combined gas and electric bills and GHG emissions can </w:t>
      </w:r>
      <w:r w:rsidR="27D5B9C0" w:rsidRPr="727BFE15">
        <w:rPr>
          <w:rFonts w:eastAsiaTheme="minorEastAsia" w:cstheme="minorBidi"/>
        </w:rPr>
        <w:t xml:space="preserve">be </w:t>
      </w:r>
      <w:r w:rsidR="6F1ABFC3" w:rsidRPr="727BFE15">
        <w:rPr>
          <w:rFonts w:eastAsiaTheme="minorEastAsia" w:cstheme="minorBidi"/>
        </w:rPr>
        <w:t>capitalize</w:t>
      </w:r>
      <w:r w:rsidR="27D5B9C0" w:rsidRPr="727BFE15">
        <w:rPr>
          <w:rFonts w:eastAsiaTheme="minorEastAsia" w:cstheme="minorBidi"/>
        </w:rPr>
        <w:t>d</w:t>
      </w:r>
      <w:r w:rsidR="6F1ABFC3" w:rsidRPr="727BFE15">
        <w:rPr>
          <w:rFonts w:eastAsiaTheme="minorEastAsia" w:cstheme="minorBidi"/>
        </w:rPr>
        <w:t xml:space="preserve"> via TOB investments</w:t>
      </w:r>
      <w:r w:rsidR="1892CFE0" w:rsidRPr="727BFE15">
        <w:rPr>
          <w:rFonts w:eastAsiaTheme="minorEastAsia" w:cstheme="minorBidi"/>
        </w:rPr>
        <w:t>.</w:t>
      </w:r>
      <w:r w:rsidR="6F1ABFC3" w:rsidRPr="727BFE15">
        <w:rPr>
          <w:rFonts w:eastAsiaTheme="minorEastAsia" w:cstheme="minorBidi"/>
        </w:rPr>
        <w:t xml:space="preserve"> (</w:t>
      </w:r>
      <w:r w:rsidR="1892CFE0" w:rsidRPr="727BFE15">
        <w:rPr>
          <w:rFonts w:eastAsiaTheme="minorEastAsia" w:cstheme="minorBidi"/>
        </w:rPr>
        <w:t xml:space="preserve">This benefit relates to the </w:t>
      </w:r>
      <w:r w:rsidR="27D5B9C0" w:rsidRPr="727BFE15">
        <w:rPr>
          <w:rFonts w:eastAsiaTheme="minorEastAsia" w:cstheme="minorBidi"/>
        </w:rPr>
        <w:t>c</w:t>
      </w:r>
      <w:r w:rsidR="6F1ABFC3" w:rsidRPr="727BFE15">
        <w:rPr>
          <w:rFonts w:eastAsiaTheme="minorEastAsia" w:cstheme="minorBidi"/>
        </w:rPr>
        <w:t xml:space="preserve">omprehensive </w:t>
      </w:r>
      <w:r w:rsidR="27D5B9C0" w:rsidRPr="727BFE15">
        <w:rPr>
          <w:rFonts w:eastAsiaTheme="minorEastAsia" w:cstheme="minorBidi"/>
        </w:rPr>
        <w:t>d</w:t>
      </w:r>
      <w:r w:rsidR="6F1ABFC3" w:rsidRPr="727BFE15">
        <w:rPr>
          <w:rFonts w:eastAsiaTheme="minorEastAsia" w:cstheme="minorBidi"/>
        </w:rPr>
        <w:t>ecarbonization</w:t>
      </w:r>
      <w:r w:rsidR="1892CFE0" w:rsidRPr="727BFE15">
        <w:rPr>
          <w:rFonts w:eastAsiaTheme="minorEastAsia" w:cstheme="minorBidi"/>
        </w:rPr>
        <w:t xml:space="preserve"> criterion</w:t>
      </w:r>
      <w:r w:rsidR="45F037A4" w:rsidRPr="727BFE15">
        <w:rPr>
          <w:rFonts w:eastAsiaTheme="minorEastAsia" w:cstheme="minorBidi"/>
        </w:rPr>
        <w:t>.</w:t>
      </w:r>
      <w:r w:rsidR="6F1ABFC3" w:rsidRPr="727BFE15">
        <w:rPr>
          <w:rFonts w:eastAsiaTheme="minorEastAsia" w:cstheme="minorBidi"/>
        </w:rPr>
        <w:t>)</w:t>
      </w:r>
    </w:p>
    <w:p w14:paraId="1B0A0E20" w14:textId="58031E53" w:rsidR="003757F0" w:rsidRDefault="54C28674" w:rsidP="727BFE15">
      <w:pPr>
        <w:pStyle w:val="ListParagraph"/>
        <w:numPr>
          <w:ilvl w:val="0"/>
          <w:numId w:val="14"/>
        </w:numPr>
        <w:tabs>
          <w:tab w:val="left" w:pos="1680"/>
        </w:tabs>
        <w:spacing w:line="276" w:lineRule="auto"/>
        <w:rPr>
          <w:rFonts w:eastAsiaTheme="minorEastAsia" w:cstheme="minorBidi"/>
        </w:rPr>
      </w:pPr>
      <w:r w:rsidRPr="727BFE15">
        <w:rPr>
          <w:rFonts w:eastAsiaTheme="minorEastAsia" w:cstheme="minorBidi"/>
        </w:rPr>
        <w:t>The TOB investment approach can incorporate capital from third-party sources</w:t>
      </w:r>
      <w:r w:rsidR="1441A5CE" w:rsidRPr="727BFE15">
        <w:rPr>
          <w:rFonts w:eastAsiaTheme="minorEastAsia" w:cstheme="minorBidi"/>
        </w:rPr>
        <w:t xml:space="preserve">. This capital can </w:t>
      </w:r>
      <w:r w:rsidR="4F15BAA9" w:rsidRPr="727BFE15">
        <w:rPr>
          <w:rFonts w:eastAsiaTheme="minorEastAsia" w:cstheme="minorBidi"/>
        </w:rPr>
        <w:t xml:space="preserve">be </w:t>
      </w:r>
      <w:r w:rsidR="1441A5CE" w:rsidRPr="727BFE15">
        <w:rPr>
          <w:rFonts w:eastAsiaTheme="minorEastAsia" w:cstheme="minorBidi"/>
        </w:rPr>
        <w:t xml:space="preserve">in the form of </w:t>
      </w:r>
      <w:r w:rsidR="52B092CC" w:rsidRPr="727BFE15">
        <w:rPr>
          <w:rFonts w:eastAsiaTheme="minorEastAsia" w:cstheme="minorBidi"/>
        </w:rPr>
        <w:t xml:space="preserve">private equity and debt, </w:t>
      </w:r>
      <w:r w:rsidR="4F15BAA9" w:rsidRPr="727BFE15">
        <w:rPr>
          <w:rFonts w:eastAsiaTheme="minorEastAsia" w:cstheme="minorBidi"/>
        </w:rPr>
        <w:t xml:space="preserve">or be sourced via </w:t>
      </w:r>
      <w:r w:rsidR="52B092CC" w:rsidRPr="727BFE15">
        <w:rPr>
          <w:rFonts w:eastAsiaTheme="minorEastAsia" w:cstheme="minorBidi"/>
        </w:rPr>
        <w:t xml:space="preserve">state and federal grants, </w:t>
      </w:r>
      <w:r w:rsidR="658B8FBE" w:rsidRPr="727BFE15">
        <w:rPr>
          <w:rFonts w:eastAsiaTheme="minorEastAsia" w:cstheme="minorBidi"/>
        </w:rPr>
        <w:t xml:space="preserve">government-issued climate bonds, </w:t>
      </w:r>
      <w:r w:rsidR="03852D4D" w:rsidRPr="727BFE15">
        <w:rPr>
          <w:rFonts w:eastAsiaTheme="minorEastAsia" w:cstheme="minorBidi"/>
        </w:rPr>
        <w:t xml:space="preserve">foundation grants, </w:t>
      </w:r>
      <w:r w:rsidR="2DCA1720" w:rsidRPr="727BFE15">
        <w:rPr>
          <w:rFonts w:eastAsiaTheme="minorEastAsia" w:cstheme="minorBidi"/>
        </w:rPr>
        <w:t xml:space="preserve">credit unions, </w:t>
      </w:r>
      <w:r w:rsidR="4F15BAA9" w:rsidRPr="727BFE15">
        <w:rPr>
          <w:rFonts w:eastAsiaTheme="minorEastAsia" w:cstheme="minorBidi"/>
        </w:rPr>
        <w:t xml:space="preserve">and </w:t>
      </w:r>
      <w:r w:rsidR="2DCA1720" w:rsidRPr="727BFE15">
        <w:rPr>
          <w:rFonts w:eastAsiaTheme="minorEastAsia" w:cstheme="minorBidi"/>
        </w:rPr>
        <w:t>Community Development Financial Institution loans. (</w:t>
      </w:r>
      <w:r w:rsidR="1892CFE0" w:rsidRPr="727BFE15">
        <w:rPr>
          <w:rFonts w:eastAsiaTheme="minorEastAsia" w:cstheme="minorBidi"/>
        </w:rPr>
        <w:t>This benefit relates to the l</w:t>
      </w:r>
      <w:r w:rsidR="2DCA1720" w:rsidRPr="727BFE15">
        <w:rPr>
          <w:rFonts w:eastAsiaTheme="minorEastAsia" w:cstheme="minorBidi"/>
        </w:rPr>
        <w:t>everage</w:t>
      </w:r>
      <w:r w:rsidR="1892CFE0" w:rsidRPr="727BFE15">
        <w:rPr>
          <w:rFonts w:eastAsiaTheme="minorEastAsia" w:cstheme="minorBidi"/>
        </w:rPr>
        <w:t xml:space="preserve"> criterion</w:t>
      </w:r>
      <w:r w:rsidR="45F037A4" w:rsidRPr="727BFE15">
        <w:rPr>
          <w:rFonts w:eastAsiaTheme="minorEastAsia" w:cstheme="minorBidi"/>
        </w:rPr>
        <w:t>.</w:t>
      </w:r>
      <w:r w:rsidR="2DCA1720" w:rsidRPr="727BFE15">
        <w:rPr>
          <w:rFonts w:eastAsiaTheme="minorEastAsia" w:cstheme="minorBidi"/>
        </w:rPr>
        <w:t>)</w:t>
      </w:r>
    </w:p>
    <w:p w14:paraId="5B7E0D7D" w14:textId="32A0B159" w:rsidR="001F193B" w:rsidRPr="001F193B" w:rsidRDefault="21E99A25" w:rsidP="727BFE15">
      <w:pPr>
        <w:pStyle w:val="ListParagraph"/>
        <w:numPr>
          <w:ilvl w:val="0"/>
          <w:numId w:val="14"/>
        </w:numPr>
        <w:tabs>
          <w:tab w:val="left" w:pos="1680"/>
        </w:tabs>
        <w:spacing w:line="276" w:lineRule="auto"/>
        <w:rPr>
          <w:rFonts w:eastAsiaTheme="minorEastAsia" w:cstheme="minorBidi"/>
        </w:rPr>
      </w:pPr>
      <w:r w:rsidRPr="6EF3B91B">
        <w:rPr>
          <w:rFonts w:eastAsia="Times New Roman"/>
        </w:rPr>
        <w:t>The TOB approach incorporates a requirement that the TOB cost recovery charge assigned to the customer must be less than the customer’s expected savings.</w:t>
      </w:r>
      <w:r w:rsidR="5695344E" w:rsidRPr="6EF3B91B">
        <w:rPr>
          <w:rFonts w:eastAsia="Times New Roman"/>
        </w:rPr>
        <w:t xml:space="preserve"> Participants are </w:t>
      </w:r>
      <w:r w:rsidR="33AE0B02" w:rsidRPr="6EF3B91B">
        <w:rPr>
          <w:rFonts w:eastAsia="Times New Roman"/>
        </w:rPr>
        <w:t>not asked to take on any financial obligation that they have not already signed up for</w:t>
      </w:r>
      <w:r w:rsidR="25080416">
        <w:rPr>
          <w:rFonts w:eastAsia="Times New Roman"/>
        </w:rPr>
        <w:t>,</w:t>
      </w:r>
      <w:r w:rsidR="33AE0B02" w:rsidRPr="6EF3B91B">
        <w:rPr>
          <w:rFonts w:eastAsia="Times New Roman"/>
        </w:rPr>
        <w:t xml:space="preserve"> simply by subscribing to utility services. </w:t>
      </w:r>
      <w:r w:rsidR="3A170304" w:rsidRPr="6EF3B91B">
        <w:rPr>
          <w:rFonts w:eastAsia="Times New Roman"/>
        </w:rPr>
        <w:t>This program requirement</w:t>
      </w:r>
      <w:r w:rsidR="4EB498FC" w:rsidRPr="6EF3B91B">
        <w:rPr>
          <w:rFonts w:eastAsia="Times New Roman"/>
        </w:rPr>
        <w:t xml:space="preserve"> avoids the need for</w:t>
      </w:r>
      <w:r w:rsidR="3A170304" w:rsidRPr="6EF3B91B">
        <w:rPr>
          <w:rFonts w:eastAsia="Times New Roman"/>
        </w:rPr>
        <w:t xml:space="preserve"> financial means testing </w:t>
      </w:r>
      <w:r w:rsidR="7D41D565">
        <w:rPr>
          <w:rFonts w:eastAsia="Times New Roman"/>
        </w:rPr>
        <w:t xml:space="preserve">(for example, </w:t>
      </w:r>
      <w:r w:rsidR="4EB498FC" w:rsidRPr="6EF3B91B">
        <w:rPr>
          <w:rFonts w:eastAsia="Times New Roman"/>
        </w:rPr>
        <w:t xml:space="preserve">consumer credit </w:t>
      </w:r>
      <w:r w:rsidR="3A170304" w:rsidRPr="6EF3B91B">
        <w:rPr>
          <w:rFonts w:eastAsia="Times New Roman"/>
        </w:rPr>
        <w:t>checks</w:t>
      </w:r>
      <w:r w:rsidR="7D41D565">
        <w:rPr>
          <w:rFonts w:eastAsia="Times New Roman"/>
        </w:rPr>
        <w:t>)</w:t>
      </w:r>
      <w:r w:rsidR="4EB498FC" w:rsidRPr="6EF3B91B">
        <w:rPr>
          <w:rFonts w:eastAsia="Times New Roman"/>
        </w:rPr>
        <w:t xml:space="preserve"> that would otherwise disqualify onsumers </w:t>
      </w:r>
      <w:r w:rsidR="7D41D565">
        <w:rPr>
          <w:rFonts w:eastAsia="Times New Roman"/>
        </w:rPr>
        <w:t xml:space="preserve">because of their </w:t>
      </w:r>
      <w:r w:rsidR="4EB498FC" w:rsidRPr="6EF3B91B">
        <w:rPr>
          <w:rFonts w:eastAsia="Times New Roman"/>
        </w:rPr>
        <w:t>income</w:t>
      </w:r>
      <w:r w:rsidR="7D41D565">
        <w:rPr>
          <w:rFonts w:eastAsia="Times New Roman"/>
        </w:rPr>
        <w:t xml:space="preserve"> levels</w:t>
      </w:r>
      <w:r w:rsidR="4EB498FC" w:rsidRPr="6EF3B91B">
        <w:rPr>
          <w:rFonts w:eastAsia="Times New Roman"/>
        </w:rPr>
        <w:t>, credit score</w:t>
      </w:r>
      <w:r w:rsidR="7D41D565">
        <w:rPr>
          <w:rFonts w:eastAsia="Times New Roman"/>
        </w:rPr>
        <w:t>s</w:t>
      </w:r>
      <w:r w:rsidR="4EB498FC" w:rsidRPr="6EF3B91B">
        <w:rPr>
          <w:rFonts w:eastAsia="Times New Roman"/>
        </w:rPr>
        <w:t>, or renter status.</w:t>
      </w:r>
      <w:r w:rsidR="00683250" w:rsidRPr="6EF3B91B">
        <w:rPr>
          <w:rStyle w:val="FootnoteReference"/>
          <w:rFonts w:eastAsia="Times New Roman"/>
        </w:rPr>
        <w:footnoteReference w:id="7"/>
      </w:r>
      <w:r w:rsidR="4EB498FC" w:rsidRPr="6EF3B91B">
        <w:rPr>
          <w:rFonts w:eastAsia="Times New Roman"/>
        </w:rPr>
        <w:t xml:space="preserve"> </w:t>
      </w:r>
      <w:r w:rsidR="6382C4F3" w:rsidRPr="6EF3B91B">
        <w:rPr>
          <w:rFonts w:eastAsia="Times New Roman"/>
        </w:rPr>
        <w:t>(</w:t>
      </w:r>
      <w:r w:rsidR="25080416">
        <w:rPr>
          <w:rFonts w:eastAsia="Times New Roman"/>
        </w:rPr>
        <w:t xml:space="preserve">This benefit relates to the </w:t>
      </w:r>
      <w:r w:rsidR="4CA97C07">
        <w:rPr>
          <w:rFonts w:eastAsia="Times New Roman"/>
        </w:rPr>
        <w:t xml:space="preserve">criteria for </w:t>
      </w:r>
      <w:r w:rsidR="25080416">
        <w:rPr>
          <w:rFonts w:eastAsia="Times New Roman"/>
        </w:rPr>
        <w:t>scalability, affordability, and equity.</w:t>
      </w:r>
      <w:r w:rsidR="6382C4F3" w:rsidRPr="6EF3B91B">
        <w:rPr>
          <w:rFonts w:eastAsia="Times New Roman"/>
        </w:rPr>
        <w:t>)</w:t>
      </w:r>
    </w:p>
    <w:p w14:paraId="57E33F38" w14:textId="0F0B52E8" w:rsidR="00D65357" w:rsidRDefault="0FBE3B3D" w:rsidP="727BFE15">
      <w:pPr>
        <w:pStyle w:val="ListParagraph"/>
        <w:numPr>
          <w:ilvl w:val="0"/>
          <w:numId w:val="14"/>
        </w:numPr>
        <w:tabs>
          <w:tab w:val="left" w:pos="1680"/>
        </w:tabs>
        <w:spacing w:line="276" w:lineRule="auto"/>
        <w:rPr>
          <w:rFonts w:eastAsiaTheme="minorEastAsia" w:cstheme="minorBidi"/>
        </w:rPr>
      </w:pPr>
      <w:r w:rsidRPr="727BFE15">
        <w:rPr>
          <w:rFonts w:eastAsia="Times New Roman"/>
        </w:rPr>
        <w:t>By applying the cost recovery charge to the location rather than to the cus</w:t>
      </w:r>
      <w:r w:rsidR="5665E1DD" w:rsidRPr="727BFE15">
        <w:rPr>
          <w:rFonts w:eastAsia="Times New Roman"/>
        </w:rPr>
        <w:t>tomer, t</w:t>
      </w:r>
      <w:r w:rsidR="5DD0F1B9" w:rsidRPr="727BFE15">
        <w:rPr>
          <w:rFonts w:eastAsia="Times New Roman"/>
        </w:rPr>
        <w:t xml:space="preserve">he </w:t>
      </w:r>
      <w:r w:rsidR="5665E1DD" w:rsidRPr="727BFE15">
        <w:rPr>
          <w:rFonts w:eastAsia="Times New Roman"/>
        </w:rPr>
        <w:t xml:space="preserve">TOB </w:t>
      </w:r>
      <w:r w:rsidR="5DD0F1B9" w:rsidRPr="727BFE15">
        <w:rPr>
          <w:rFonts w:eastAsia="Times New Roman"/>
        </w:rPr>
        <w:t>approach enables cost recovery to be spread over the life of the upgrade, rather than</w:t>
      </w:r>
      <w:r w:rsidR="5665E1DD" w:rsidRPr="727BFE15">
        <w:rPr>
          <w:rFonts w:eastAsia="Times New Roman"/>
        </w:rPr>
        <w:t xml:space="preserve"> be</w:t>
      </w:r>
      <w:r w:rsidR="5DD0F1B9" w:rsidRPr="727BFE15">
        <w:rPr>
          <w:rFonts w:eastAsia="Times New Roman"/>
        </w:rPr>
        <w:t xml:space="preserve"> constrained to the tenure of the current occupant</w:t>
      </w:r>
      <w:r w:rsidR="3C786141" w:rsidRPr="727BFE15">
        <w:rPr>
          <w:rFonts w:eastAsia="Times New Roman"/>
        </w:rPr>
        <w:t>.</w:t>
      </w:r>
      <w:r w:rsidR="5DD0F1B9" w:rsidRPr="727BFE15">
        <w:rPr>
          <w:rFonts w:eastAsia="Times New Roman"/>
        </w:rPr>
        <w:t xml:space="preserve"> (</w:t>
      </w:r>
      <w:r w:rsidR="3C786141" w:rsidRPr="727BFE15">
        <w:rPr>
          <w:rFonts w:eastAsia="Times New Roman"/>
        </w:rPr>
        <w:t xml:space="preserve">This benefit relates to the </w:t>
      </w:r>
      <w:r w:rsidR="4062A214" w:rsidRPr="727BFE15">
        <w:rPr>
          <w:rFonts w:eastAsia="Times New Roman"/>
        </w:rPr>
        <w:t>scalability, a</w:t>
      </w:r>
      <w:r w:rsidR="5DD0F1B9" w:rsidRPr="727BFE15">
        <w:rPr>
          <w:rFonts w:eastAsia="Times New Roman"/>
        </w:rPr>
        <w:t xml:space="preserve">ffordability, </w:t>
      </w:r>
      <w:r w:rsidR="4062A214" w:rsidRPr="727BFE15">
        <w:rPr>
          <w:rFonts w:eastAsia="Times New Roman"/>
        </w:rPr>
        <w:t>and equity</w:t>
      </w:r>
      <w:r w:rsidR="3C786141" w:rsidRPr="727BFE15">
        <w:rPr>
          <w:rFonts w:eastAsia="Times New Roman"/>
        </w:rPr>
        <w:t xml:space="preserve"> criteria.</w:t>
      </w:r>
      <w:r w:rsidR="5DD0F1B9" w:rsidRPr="727BFE15">
        <w:rPr>
          <w:rFonts w:eastAsia="Times New Roman"/>
        </w:rPr>
        <w:t>)</w:t>
      </w:r>
    </w:p>
    <w:p w14:paraId="43FD3AA9" w14:textId="6A237E88" w:rsidR="00D65357" w:rsidRPr="00057924" w:rsidRDefault="60464BE8" w:rsidP="727BFE15">
      <w:pPr>
        <w:pStyle w:val="ListParagraph"/>
        <w:numPr>
          <w:ilvl w:val="0"/>
          <w:numId w:val="14"/>
        </w:numPr>
        <w:tabs>
          <w:tab w:val="left" w:pos="1680"/>
        </w:tabs>
        <w:spacing w:line="276" w:lineRule="auto"/>
        <w:rPr>
          <w:rFonts w:eastAsiaTheme="minorEastAsia" w:cstheme="minorBidi"/>
        </w:rPr>
      </w:pPr>
      <w:r w:rsidRPr="727BFE15">
        <w:rPr>
          <w:rFonts w:eastAsia="Times New Roman"/>
        </w:rPr>
        <w:t>An operations efficiency</w:t>
      </w:r>
      <w:r w:rsidR="597D453B" w:rsidRPr="727BFE15">
        <w:rPr>
          <w:rFonts w:eastAsia="Times New Roman"/>
        </w:rPr>
        <w:t xml:space="preserve"> for the utility provides a customer benefit if the </w:t>
      </w:r>
      <w:r w:rsidR="3A59E7F9" w:rsidRPr="727BFE15">
        <w:rPr>
          <w:rFonts w:eastAsia="Times New Roman"/>
        </w:rPr>
        <w:t xml:space="preserve">utility can use </w:t>
      </w:r>
      <w:r w:rsidR="5DD0F1B9" w:rsidRPr="727BFE15">
        <w:rPr>
          <w:rFonts w:eastAsia="Times New Roman"/>
        </w:rPr>
        <w:t>existing mechanisms for making utility capital investments with cost recovery through monthly bills</w:t>
      </w:r>
      <w:r w:rsidR="597D453B" w:rsidRPr="727BFE15">
        <w:rPr>
          <w:rFonts w:eastAsia="Times New Roman"/>
        </w:rPr>
        <w:t>. T</w:t>
      </w:r>
      <w:r w:rsidR="3A59E7F9" w:rsidRPr="727BFE15">
        <w:rPr>
          <w:rFonts w:eastAsia="Times New Roman"/>
        </w:rPr>
        <w:t xml:space="preserve">hus, </w:t>
      </w:r>
      <w:r w:rsidR="5DD0F1B9" w:rsidRPr="727BFE15">
        <w:rPr>
          <w:rFonts w:eastAsia="Times New Roman"/>
        </w:rPr>
        <w:t xml:space="preserve">a single utility bill </w:t>
      </w:r>
      <w:r w:rsidR="3A59E7F9" w:rsidRPr="727BFE15">
        <w:rPr>
          <w:rFonts w:eastAsia="Times New Roman"/>
        </w:rPr>
        <w:t xml:space="preserve">can </w:t>
      </w:r>
      <w:r w:rsidR="597D453B" w:rsidRPr="727BFE15">
        <w:rPr>
          <w:rFonts w:eastAsia="Times New Roman"/>
        </w:rPr>
        <w:t xml:space="preserve">reflect </w:t>
      </w:r>
      <w:r w:rsidR="5DD0F1B9" w:rsidRPr="727BFE15">
        <w:rPr>
          <w:rFonts w:eastAsia="Times New Roman"/>
        </w:rPr>
        <w:t>combine</w:t>
      </w:r>
      <w:r w:rsidR="597D453B" w:rsidRPr="727BFE15">
        <w:rPr>
          <w:rFonts w:eastAsia="Times New Roman"/>
        </w:rPr>
        <w:t>d</w:t>
      </w:r>
      <w:r w:rsidR="5DD0F1B9" w:rsidRPr="727BFE15">
        <w:rPr>
          <w:rFonts w:eastAsia="Times New Roman"/>
        </w:rPr>
        <w:t xml:space="preserve"> service </w:t>
      </w:r>
      <w:r w:rsidR="667F1CB2" w:rsidRPr="727BFE15">
        <w:rPr>
          <w:rFonts w:eastAsia="Times New Roman"/>
        </w:rPr>
        <w:t>charges</w:t>
      </w:r>
      <w:r w:rsidR="5DD0F1B9" w:rsidRPr="727BFE15">
        <w:rPr>
          <w:rFonts w:eastAsia="Times New Roman"/>
        </w:rPr>
        <w:t xml:space="preserve"> for </w:t>
      </w:r>
      <w:r w:rsidR="62177E49" w:rsidRPr="727BFE15">
        <w:rPr>
          <w:rFonts w:eastAsia="Times New Roman"/>
        </w:rPr>
        <w:t>decarboniz</w:t>
      </w:r>
      <w:r w:rsidR="0D7F56D5" w:rsidRPr="727BFE15">
        <w:rPr>
          <w:rFonts w:eastAsia="Times New Roman"/>
        </w:rPr>
        <w:t>ing</w:t>
      </w:r>
      <w:r w:rsidR="5DD0F1B9" w:rsidRPr="727BFE15">
        <w:rPr>
          <w:rFonts w:eastAsia="Times New Roman"/>
        </w:rPr>
        <w:t xml:space="preserve"> improvements</w:t>
      </w:r>
      <w:r w:rsidR="597D453B" w:rsidRPr="727BFE15">
        <w:rPr>
          <w:rFonts w:eastAsia="Times New Roman"/>
        </w:rPr>
        <w:t>,</w:t>
      </w:r>
      <w:r w:rsidR="5DD0F1B9" w:rsidRPr="727BFE15">
        <w:rPr>
          <w:rFonts w:eastAsia="Times New Roman"/>
        </w:rPr>
        <w:t xml:space="preserve"> with the lower utility bills resulting from the improvements made.  (</w:t>
      </w:r>
      <w:r w:rsidR="597D453B" w:rsidRPr="727BFE15">
        <w:rPr>
          <w:rFonts w:eastAsia="Times New Roman"/>
        </w:rPr>
        <w:t xml:space="preserve">This benefit relates to the criteria for </w:t>
      </w:r>
      <w:r w:rsidR="24A5DA84" w:rsidRPr="727BFE15">
        <w:rPr>
          <w:rFonts w:eastAsia="Times New Roman"/>
        </w:rPr>
        <w:t>s</w:t>
      </w:r>
      <w:r w:rsidR="5DD0F1B9" w:rsidRPr="727BFE15">
        <w:rPr>
          <w:rFonts w:eastAsia="Times New Roman"/>
        </w:rPr>
        <w:t>calability</w:t>
      </w:r>
      <w:r w:rsidR="24A5DA84" w:rsidRPr="727BFE15">
        <w:rPr>
          <w:rFonts w:eastAsia="Times New Roman"/>
        </w:rPr>
        <w:t xml:space="preserve"> and t</w:t>
      </w:r>
      <w:r w:rsidR="5665E1DD" w:rsidRPr="727BFE15">
        <w:rPr>
          <w:rFonts w:eastAsia="Times New Roman"/>
        </w:rPr>
        <w:t>ransparency</w:t>
      </w:r>
      <w:r w:rsidR="24A5DA84" w:rsidRPr="727BFE15">
        <w:rPr>
          <w:rFonts w:eastAsia="Times New Roman"/>
        </w:rPr>
        <w:t>.</w:t>
      </w:r>
      <w:r w:rsidR="5DD0F1B9" w:rsidRPr="727BFE15">
        <w:rPr>
          <w:rFonts w:eastAsia="Times New Roman"/>
        </w:rPr>
        <w:t>)</w:t>
      </w:r>
    </w:p>
    <w:p w14:paraId="45675BA8" w14:textId="18E968C1" w:rsidR="00470561" w:rsidRDefault="6B8E12A8" w:rsidP="727BFE15">
      <w:pPr>
        <w:pStyle w:val="ListParagraph"/>
        <w:numPr>
          <w:ilvl w:val="0"/>
          <w:numId w:val="14"/>
        </w:numPr>
        <w:tabs>
          <w:tab w:val="left" w:pos="1680"/>
        </w:tabs>
        <w:spacing w:line="276" w:lineRule="auto"/>
        <w:rPr>
          <w:rFonts w:eastAsiaTheme="minorEastAsia" w:cstheme="minorBidi"/>
        </w:rPr>
      </w:pPr>
      <w:r w:rsidRPr="727BFE15">
        <w:rPr>
          <w:rFonts w:eastAsia="Times New Roman"/>
        </w:rPr>
        <w:t>In addition to the requirement for cash-positive outcomes for participants, the TOB approach incorporates protections to</w:t>
      </w:r>
      <w:r w:rsidR="2074736F" w:rsidRPr="727BFE15">
        <w:rPr>
          <w:rFonts w:eastAsia="Times New Roman"/>
        </w:rPr>
        <w:t xml:space="preserve"> minimize </w:t>
      </w:r>
      <w:r w:rsidR="5826640C" w:rsidRPr="727BFE15">
        <w:rPr>
          <w:rFonts w:eastAsia="Times New Roman"/>
        </w:rPr>
        <w:t xml:space="preserve">customers’ </w:t>
      </w:r>
      <w:r w:rsidR="2074736F" w:rsidRPr="727BFE15">
        <w:rPr>
          <w:rFonts w:eastAsia="Times New Roman"/>
        </w:rPr>
        <w:t>financial risks</w:t>
      </w:r>
      <w:r w:rsidR="6D36DF8C" w:rsidRPr="727BFE15">
        <w:rPr>
          <w:rFonts w:eastAsia="Times New Roman"/>
        </w:rPr>
        <w:t xml:space="preserve"> and </w:t>
      </w:r>
      <w:r w:rsidR="5826640C" w:rsidRPr="727BFE15">
        <w:rPr>
          <w:rFonts w:eastAsia="Times New Roman"/>
        </w:rPr>
        <w:t xml:space="preserve">to </w:t>
      </w:r>
      <w:r w:rsidR="6D36DF8C" w:rsidRPr="727BFE15">
        <w:rPr>
          <w:rFonts w:eastAsia="Times New Roman"/>
        </w:rPr>
        <w:t>reduce their exposure to the threat of disconnection for nonpayment</w:t>
      </w:r>
      <w:r w:rsidR="69277070" w:rsidRPr="727BFE15">
        <w:rPr>
          <w:rFonts w:eastAsia="Times New Roman"/>
        </w:rPr>
        <w:t xml:space="preserve">. The customer’s history of satisfactory utility bill payments is </w:t>
      </w:r>
      <w:r w:rsidR="0CF65A11" w:rsidRPr="727BFE15">
        <w:rPr>
          <w:rFonts w:eastAsia="Times New Roman"/>
        </w:rPr>
        <w:t xml:space="preserve">the utility’s </w:t>
      </w:r>
      <w:r w:rsidR="69277070" w:rsidRPr="727BFE15">
        <w:rPr>
          <w:rFonts w:eastAsia="Times New Roman"/>
        </w:rPr>
        <w:t>security</w:t>
      </w:r>
      <w:r w:rsidR="0CF65A11" w:rsidRPr="727BFE15">
        <w:rPr>
          <w:rFonts w:eastAsia="Times New Roman"/>
        </w:rPr>
        <w:t>,</w:t>
      </w:r>
      <w:r w:rsidR="69277070" w:rsidRPr="727BFE15">
        <w:rPr>
          <w:rFonts w:eastAsia="Times New Roman"/>
        </w:rPr>
        <w:t xml:space="preserve"> so th</w:t>
      </w:r>
      <w:r w:rsidR="71661557" w:rsidRPr="727BFE15">
        <w:rPr>
          <w:rFonts w:eastAsia="Times New Roman"/>
        </w:rPr>
        <w:t>is model imposes zero risk that the customer’s home might be foreclosed on</w:t>
      </w:r>
      <w:r w:rsidR="0CF65A11" w:rsidRPr="727BFE15">
        <w:rPr>
          <w:rFonts w:eastAsia="Times New Roman"/>
        </w:rPr>
        <w:t>,</w:t>
      </w:r>
      <w:r w:rsidR="71661557" w:rsidRPr="727BFE15">
        <w:rPr>
          <w:rFonts w:eastAsia="Times New Roman"/>
        </w:rPr>
        <w:t xml:space="preserve"> or the improvements repossessed.</w:t>
      </w:r>
      <w:r w:rsidR="2074736F" w:rsidRPr="727BFE15">
        <w:rPr>
          <w:rFonts w:eastAsia="Times New Roman"/>
        </w:rPr>
        <w:t xml:space="preserve"> (</w:t>
      </w:r>
      <w:r w:rsidR="0CF65A11" w:rsidRPr="727BFE15">
        <w:rPr>
          <w:rFonts w:eastAsia="Times New Roman"/>
        </w:rPr>
        <w:t>This benefit relates to the c</w:t>
      </w:r>
      <w:r w:rsidR="2074736F" w:rsidRPr="727BFE15">
        <w:rPr>
          <w:rFonts w:eastAsia="Times New Roman"/>
        </w:rPr>
        <w:t xml:space="preserve">ustomer </w:t>
      </w:r>
      <w:r w:rsidR="0CF65A11" w:rsidRPr="727BFE15">
        <w:rPr>
          <w:rFonts w:eastAsia="Times New Roman"/>
        </w:rPr>
        <w:t>p</w:t>
      </w:r>
      <w:r w:rsidR="2074736F" w:rsidRPr="727BFE15">
        <w:rPr>
          <w:rFonts w:eastAsia="Times New Roman"/>
        </w:rPr>
        <w:t>rotection</w:t>
      </w:r>
      <w:r w:rsidR="0CF65A11" w:rsidRPr="727BFE15">
        <w:rPr>
          <w:rFonts w:eastAsia="Times New Roman"/>
        </w:rPr>
        <w:t xml:space="preserve"> criterion.</w:t>
      </w:r>
      <w:r w:rsidR="2074736F" w:rsidRPr="727BFE15">
        <w:rPr>
          <w:rFonts w:eastAsia="Times New Roman"/>
        </w:rPr>
        <w:t>)</w:t>
      </w:r>
    </w:p>
    <w:p w14:paraId="3B9388CD" w14:textId="0CFFED40" w:rsidR="00E74447" w:rsidRDefault="00E74447" w:rsidP="00E74447">
      <w:pPr>
        <w:pStyle w:val="Heading3"/>
      </w:pPr>
      <w:r>
        <w:t>Market Barriers Addressed</w:t>
      </w:r>
    </w:p>
    <w:p w14:paraId="06B9E5D1" w14:textId="12FA4BCE" w:rsidR="00E74447" w:rsidRDefault="7E3DA3B2" w:rsidP="6EF3B91B">
      <w:pPr>
        <w:rPr>
          <w:rFonts w:eastAsia="Times New Roman"/>
        </w:rPr>
      </w:pPr>
      <w:r w:rsidRPr="727BFE15">
        <w:rPr>
          <w:rFonts w:eastAsia="Times New Roman"/>
        </w:rPr>
        <w:t xml:space="preserve">Decarbonization of an existing home requires a substantial capital investment. </w:t>
      </w:r>
      <w:r w:rsidR="0CF65A11" w:rsidRPr="727BFE15">
        <w:rPr>
          <w:rFonts w:eastAsia="Times New Roman"/>
        </w:rPr>
        <w:t xml:space="preserve">Although </w:t>
      </w:r>
      <w:r w:rsidR="2105E822" w:rsidRPr="727BFE15">
        <w:rPr>
          <w:rFonts w:eastAsia="Times New Roman"/>
        </w:rPr>
        <w:t xml:space="preserve">a utility’s </w:t>
      </w:r>
      <w:r w:rsidRPr="727BFE15">
        <w:rPr>
          <w:rFonts w:eastAsia="Times New Roman"/>
        </w:rPr>
        <w:t xml:space="preserve">financial incentives are helpful in lowering upfront investment costs, customers still need access to capital to fund the </w:t>
      </w:r>
      <w:r w:rsidR="4DC3D646" w:rsidRPr="727BFE15">
        <w:rPr>
          <w:rFonts w:eastAsia="Times New Roman"/>
        </w:rPr>
        <w:t xml:space="preserve">remaining </w:t>
      </w:r>
      <w:r w:rsidRPr="727BFE15">
        <w:rPr>
          <w:rFonts w:eastAsia="Times New Roman"/>
        </w:rPr>
        <w:t xml:space="preserve">balance. </w:t>
      </w:r>
      <w:r w:rsidR="4DC3D646" w:rsidRPr="727BFE15">
        <w:rPr>
          <w:rFonts w:eastAsia="Times New Roman"/>
        </w:rPr>
        <w:t>A</w:t>
      </w:r>
      <w:r w:rsidRPr="727BFE15">
        <w:rPr>
          <w:rFonts w:eastAsia="Times New Roman"/>
        </w:rPr>
        <w:t xml:space="preserve"> </w:t>
      </w:r>
      <w:r w:rsidR="4DC3D646" w:rsidRPr="727BFE15">
        <w:rPr>
          <w:rFonts w:eastAsia="Times New Roman"/>
        </w:rPr>
        <w:t xml:space="preserve">small </w:t>
      </w:r>
      <w:r w:rsidRPr="727BFE15">
        <w:rPr>
          <w:rFonts w:eastAsia="Times New Roman"/>
        </w:rPr>
        <w:t xml:space="preserve">number of customers have the financial means to pay cash or </w:t>
      </w:r>
      <w:r w:rsidR="070DF82C" w:rsidRPr="727BFE15">
        <w:rPr>
          <w:rFonts w:eastAsia="Times New Roman"/>
        </w:rPr>
        <w:t xml:space="preserve">to </w:t>
      </w:r>
      <w:r w:rsidRPr="727BFE15">
        <w:rPr>
          <w:rFonts w:eastAsia="Times New Roman"/>
        </w:rPr>
        <w:t xml:space="preserve">finance </w:t>
      </w:r>
      <w:r w:rsidR="070DF82C" w:rsidRPr="727BFE15">
        <w:rPr>
          <w:rFonts w:eastAsia="Times New Roman"/>
        </w:rPr>
        <w:t xml:space="preserve">decarbonization costs </w:t>
      </w:r>
      <w:r w:rsidRPr="727BFE15">
        <w:rPr>
          <w:rFonts w:eastAsia="Times New Roman"/>
        </w:rPr>
        <w:t>through</w:t>
      </w:r>
      <w:r w:rsidR="6BCEDD38" w:rsidRPr="727BFE15">
        <w:rPr>
          <w:rFonts w:eastAsia="Times New Roman"/>
        </w:rPr>
        <w:t xml:space="preserve"> conventional</w:t>
      </w:r>
      <w:r w:rsidRPr="727BFE15">
        <w:rPr>
          <w:rFonts w:eastAsia="Times New Roman"/>
        </w:rPr>
        <w:t xml:space="preserve"> market-rate loan products</w:t>
      </w:r>
      <w:r w:rsidR="070DF82C" w:rsidRPr="727BFE15">
        <w:rPr>
          <w:rFonts w:eastAsia="Times New Roman"/>
        </w:rPr>
        <w:t xml:space="preserve">. However, </w:t>
      </w:r>
      <w:r w:rsidRPr="727BFE15">
        <w:rPr>
          <w:rFonts w:eastAsia="Times New Roman"/>
        </w:rPr>
        <w:t xml:space="preserve">an accessible and affordable solution </w:t>
      </w:r>
      <w:r w:rsidR="0B85D7CB" w:rsidRPr="727BFE15">
        <w:rPr>
          <w:rFonts w:eastAsia="Times New Roman"/>
        </w:rPr>
        <w:t xml:space="preserve">can </w:t>
      </w:r>
      <w:r w:rsidRPr="727BFE15">
        <w:rPr>
          <w:rFonts w:eastAsia="Times New Roman"/>
        </w:rPr>
        <w:t>accelerate investment.</w:t>
      </w:r>
      <w:r w:rsidR="6382C4F3" w:rsidRPr="727BFE15">
        <w:rPr>
          <w:rFonts w:eastAsia="Times New Roman"/>
        </w:rPr>
        <w:t xml:space="preserve"> Even where capital is available in principle, if the </w:t>
      </w:r>
      <w:r w:rsidR="64C67567" w:rsidRPr="727BFE15">
        <w:rPr>
          <w:rFonts w:eastAsia="Times New Roman"/>
        </w:rPr>
        <w:t xml:space="preserve">payback on investments extends beyond the expected occupancy of the home, customers </w:t>
      </w:r>
      <w:r w:rsidR="0B85D7CB" w:rsidRPr="727BFE15">
        <w:rPr>
          <w:rFonts w:eastAsia="Times New Roman"/>
        </w:rPr>
        <w:t xml:space="preserve">might </w:t>
      </w:r>
      <w:r w:rsidR="265A594B" w:rsidRPr="727BFE15">
        <w:rPr>
          <w:rFonts w:eastAsia="Times New Roman"/>
        </w:rPr>
        <w:t xml:space="preserve">be reluctant to make substantial investments for fear </w:t>
      </w:r>
      <w:r w:rsidR="647C8690" w:rsidRPr="727BFE15">
        <w:rPr>
          <w:rFonts w:eastAsia="Times New Roman"/>
        </w:rPr>
        <w:t>they will not recoup sufficient value</w:t>
      </w:r>
      <w:r w:rsidR="265A594B" w:rsidRPr="727BFE15">
        <w:rPr>
          <w:rFonts w:eastAsia="Times New Roman"/>
        </w:rPr>
        <w:t>.</w:t>
      </w:r>
    </w:p>
    <w:p w14:paraId="24B2241F" w14:textId="176FBE0F" w:rsidR="00E74447" w:rsidRDefault="3CE288E4" w:rsidP="727BFE15">
      <w:pPr>
        <w:rPr>
          <w:rFonts w:eastAsia="Times New Roman"/>
        </w:rPr>
      </w:pPr>
      <w:r w:rsidRPr="727BFE15">
        <w:rPr>
          <w:rFonts w:eastAsia="Times New Roman"/>
        </w:rPr>
        <w:t xml:space="preserve">The </w:t>
      </w:r>
      <w:r w:rsidR="260BAA11" w:rsidRPr="727BFE15">
        <w:rPr>
          <w:rFonts w:eastAsia="Times New Roman"/>
        </w:rPr>
        <w:t>Greenlining Institute, Building Decarbonization Coalition</w:t>
      </w:r>
      <w:r w:rsidRPr="727BFE15">
        <w:rPr>
          <w:rFonts w:eastAsia="Times New Roman"/>
        </w:rPr>
        <w:t xml:space="preserve"> (BDC)</w:t>
      </w:r>
      <w:r w:rsidR="260BAA11" w:rsidRPr="727BFE15">
        <w:rPr>
          <w:rFonts w:eastAsia="Times New Roman"/>
        </w:rPr>
        <w:t xml:space="preserve">, and other advocates have pointed out the particular </w:t>
      </w:r>
      <w:r w:rsidRPr="727BFE15">
        <w:rPr>
          <w:rFonts w:eastAsia="Times New Roman"/>
        </w:rPr>
        <w:t xml:space="preserve">capital access </w:t>
      </w:r>
      <w:r w:rsidR="260BAA11" w:rsidRPr="727BFE15">
        <w:rPr>
          <w:rFonts w:eastAsia="Times New Roman"/>
        </w:rPr>
        <w:t>challenges facing low-</w:t>
      </w:r>
      <w:r w:rsidRPr="727BFE15">
        <w:rPr>
          <w:rFonts w:eastAsia="Times New Roman"/>
        </w:rPr>
        <w:t xml:space="preserve">to </w:t>
      </w:r>
      <w:r w:rsidR="260BAA11" w:rsidRPr="727BFE15">
        <w:rPr>
          <w:rFonts w:eastAsia="Times New Roman"/>
        </w:rPr>
        <w:t>moderate-income</w:t>
      </w:r>
      <w:r w:rsidR="055FCA7A" w:rsidRPr="727BFE15">
        <w:rPr>
          <w:rFonts w:eastAsia="Times New Roman"/>
        </w:rPr>
        <w:t xml:space="preserve"> (LMI)</w:t>
      </w:r>
      <w:r w:rsidR="260BAA11" w:rsidRPr="727BFE15">
        <w:rPr>
          <w:rFonts w:eastAsia="Times New Roman"/>
        </w:rPr>
        <w:t xml:space="preserve"> households and renters. BDC’s </w:t>
      </w:r>
      <w:r w:rsidR="260BAA11" w:rsidRPr="727BFE15">
        <w:rPr>
          <w:rFonts w:eastAsia="Times New Roman"/>
          <w:i/>
          <w:iCs/>
        </w:rPr>
        <w:t xml:space="preserve">Towards an Accessible Financing Solution </w:t>
      </w:r>
      <w:r w:rsidR="260BAA11" w:rsidRPr="727BFE15">
        <w:rPr>
          <w:rFonts w:eastAsia="Times New Roman"/>
        </w:rPr>
        <w:t>points out that “California is home to more than 4 million low-income households and more than 5.8 million households in rental housing, including 2 million moderate- and above moderate-income renter households.” The impact of poverty on household energy use manifests itself in at least two tangible ways:</w:t>
      </w:r>
    </w:p>
    <w:p w14:paraId="61207EA5" w14:textId="7DE5E839" w:rsidR="00E74447" w:rsidRPr="00F71BFD" w:rsidRDefault="260BAA11" w:rsidP="727BFE15">
      <w:pPr>
        <w:pStyle w:val="ListParagraph"/>
        <w:numPr>
          <w:ilvl w:val="0"/>
          <w:numId w:val="13"/>
        </w:numPr>
        <w:spacing w:before="80" w:line="276" w:lineRule="auto"/>
        <w:rPr>
          <w:rFonts w:eastAsia="Times New Roman"/>
        </w:rPr>
      </w:pPr>
      <w:r w:rsidRPr="727BFE15">
        <w:rPr>
          <w:rFonts w:eastAsia="Times New Roman"/>
          <w:b/>
          <w:bCs/>
        </w:rPr>
        <w:t>Energy burden.</w:t>
      </w:r>
      <w:r w:rsidRPr="727BFE15">
        <w:rPr>
          <w:rFonts w:eastAsia="Times New Roman"/>
        </w:rPr>
        <w:t xml:space="preserve"> In the </w:t>
      </w:r>
      <w:r w:rsidR="004E86B5" w:rsidRPr="727BFE15">
        <w:rPr>
          <w:rFonts w:eastAsia="Times New Roman"/>
          <w:i/>
          <w:iCs/>
        </w:rPr>
        <w:t>Needs Assessment for the Energy Savings Assistance and the California Alternate Rates for Energy Programs</w:t>
      </w:r>
      <w:r w:rsidR="3356F0B3" w:rsidRPr="727BFE15">
        <w:rPr>
          <w:rFonts w:eastAsia="Times New Roman"/>
        </w:rPr>
        <w:t xml:space="preserve"> report</w:t>
      </w:r>
      <w:r w:rsidRPr="727BFE15">
        <w:rPr>
          <w:rFonts w:eastAsia="Times New Roman"/>
        </w:rPr>
        <w:t xml:space="preserve"> commissioned by the CPUC in 2016, one</w:t>
      </w:r>
      <w:r w:rsidR="3179B6B5" w:rsidRPr="727BFE15">
        <w:rPr>
          <w:rFonts w:eastAsia="Times New Roman"/>
        </w:rPr>
        <w:t>-</w:t>
      </w:r>
      <w:r w:rsidRPr="727BFE15">
        <w:rPr>
          <w:rFonts w:eastAsia="Times New Roman"/>
        </w:rPr>
        <w:t xml:space="preserve">third of low-income households in California reached in the survey indicated that they struggle with energy bills either </w:t>
      </w:r>
      <w:r w:rsidR="3179B6B5" w:rsidRPr="727BFE15">
        <w:rPr>
          <w:rFonts w:eastAsia="Times New Roman"/>
        </w:rPr>
        <w:t>“</w:t>
      </w:r>
      <w:r w:rsidRPr="727BFE15">
        <w:rPr>
          <w:rFonts w:eastAsia="Times New Roman"/>
        </w:rPr>
        <w:t>often</w:t>
      </w:r>
      <w:r w:rsidR="3179B6B5" w:rsidRPr="727BFE15">
        <w:rPr>
          <w:rFonts w:eastAsia="Times New Roman"/>
        </w:rPr>
        <w:t>”</w:t>
      </w:r>
      <w:r w:rsidRPr="727BFE15">
        <w:rPr>
          <w:rFonts w:eastAsia="Times New Roman"/>
        </w:rPr>
        <w:t xml:space="preserve"> or </w:t>
      </w:r>
      <w:r w:rsidR="3179B6B5" w:rsidRPr="727BFE15">
        <w:rPr>
          <w:rFonts w:eastAsia="Times New Roman"/>
        </w:rPr>
        <w:t>“</w:t>
      </w:r>
      <w:r w:rsidRPr="727BFE15">
        <w:rPr>
          <w:rFonts w:eastAsia="Times New Roman"/>
        </w:rPr>
        <w:t>constantly.</w:t>
      </w:r>
      <w:r w:rsidR="3179B6B5" w:rsidRPr="727BFE15">
        <w:rPr>
          <w:rFonts w:eastAsia="Times New Roman"/>
        </w:rPr>
        <w:t>”</w:t>
      </w:r>
      <w:r w:rsidRPr="727BFE15">
        <w:rPr>
          <w:rFonts w:eastAsia="Times New Roman"/>
        </w:rPr>
        <w:t xml:space="preserve"> According to</w:t>
      </w:r>
      <w:r w:rsidR="3179B6B5" w:rsidRPr="727BFE15">
        <w:rPr>
          <w:rFonts w:eastAsia="Times New Roman"/>
        </w:rPr>
        <w:t xml:space="preserve"> those</w:t>
      </w:r>
      <w:r w:rsidRPr="727BFE15">
        <w:rPr>
          <w:rFonts w:eastAsia="Times New Roman"/>
        </w:rPr>
        <w:t xml:space="preserve"> survey data, households below 100 percent of the Federal Poverty Level (FPL) experienced energy burdens averaging 8.2 percent, whereas households with incomes exceeding 300 percent of FPL averaged less than 1.4 percent.</w:t>
      </w:r>
      <w:r w:rsidR="003136BC" w:rsidRPr="727BFE15">
        <w:rPr>
          <w:rStyle w:val="FootnoteReference"/>
          <w:rFonts w:eastAsia="Times New Roman"/>
        </w:rPr>
        <w:footnoteReference w:id="8"/>
      </w:r>
    </w:p>
    <w:p w14:paraId="24D5C07E" w14:textId="79CCE039" w:rsidR="00891D88" w:rsidRDefault="66068044" w:rsidP="6EF3B91B">
      <w:pPr>
        <w:numPr>
          <w:ilvl w:val="0"/>
          <w:numId w:val="13"/>
        </w:numPr>
        <w:pBdr>
          <w:top w:val="nil"/>
          <w:left w:val="nil"/>
          <w:bottom w:val="nil"/>
          <w:right w:val="nil"/>
          <w:between w:val="nil"/>
        </w:pBdr>
        <w:spacing w:before="0" w:line="276" w:lineRule="auto"/>
        <w:rPr>
          <w:color w:val="000000"/>
        </w:rPr>
      </w:pPr>
      <w:r w:rsidRPr="6EF3B91B">
        <w:rPr>
          <w:b/>
          <w:bCs/>
          <w:color w:val="000000"/>
        </w:rPr>
        <w:t>Utility disconnections.</w:t>
      </w:r>
      <w:r w:rsidRPr="006E5469">
        <w:rPr>
          <w:color w:val="000000"/>
        </w:rPr>
        <w:t xml:space="preserve"> Low-income customers face a disproportionate risk of utility disconnections. </w:t>
      </w:r>
      <w:r>
        <w:rPr>
          <w:color w:val="000000"/>
        </w:rPr>
        <w:t>S</w:t>
      </w:r>
      <w:r w:rsidRPr="006E5469">
        <w:rPr>
          <w:color w:val="000000"/>
        </w:rPr>
        <w:t>hutoff rates increased</w:t>
      </w:r>
      <w:r>
        <w:rPr>
          <w:color w:val="000000"/>
        </w:rPr>
        <w:t xml:space="preserve"> </w:t>
      </w:r>
      <w:r w:rsidRPr="006E5469">
        <w:rPr>
          <w:color w:val="000000"/>
        </w:rPr>
        <w:t xml:space="preserve">by more than 50 percent </w:t>
      </w:r>
      <w:r w:rsidR="79855EE3">
        <w:rPr>
          <w:color w:val="000000"/>
        </w:rPr>
        <w:t>between</w:t>
      </w:r>
      <w:r w:rsidR="79855EE3" w:rsidRPr="006E5469">
        <w:rPr>
          <w:color w:val="000000"/>
        </w:rPr>
        <w:t xml:space="preserve"> </w:t>
      </w:r>
      <w:r w:rsidRPr="006E5469">
        <w:rPr>
          <w:color w:val="000000"/>
        </w:rPr>
        <w:t>2010</w:t>
      </w:r>
      <w:r w:rsidR="79855EE3">
        <w:rPr>
          <w:color w:val="000000"/>
        </w:rPr>
        <w:t xml:space="preserve"> and 2017</w:t>
      </w:r>
      <w:r w:rsidRPr="006E5469">
        <w:rPr>
          <w:color w:val="000000"/>
        </w:rPr>
        <w:t>, culminating in 886,000 household shut offs in 2017.</w:t>
      </w:r>
      <w:r w:rsidRPr="006C6F08">
        <w:rPr>
          <w:rStyle w:val="FootnoteReference"/>
          <w:color w:val="000000"/>
        </w:rPr>
        <w:t xml:space="preserve"> </w:t>
      </w:r>
      <w:r w:rsidRPr="006E5469">
        <w:rPr>
          <w:color w:val="000000"/>
        </w:rPr>
        <w:t xml:space="preserve">In 2017, the disconnection rate rose </w:t>
      </w:r>
      <w:r w:rsidR="74CB41D0">
        <w:rPr>
          <w:color w:val="000000"/>
        </w:rPr>
        <w:t xml:space="preserve">to </w:t>
      </w:r>
      <w:r w:rsidRPr="006E5469">
        <w:rPr>
          <w:color w:val="000000"/>
        </w:rPr>
        <w:t>9.3</w:t>
      </w:r>
      <w:r>
        <w:rPr>
          <w:color w:val="000000"/>
        </w:rPr>
        <w:t xml:space="preserve"> percent</w:t>
      </w:r>
      <w:r w:rsidRPr="006E5469">
        <w:rPr>
          <w:color w:val="000000"/>
        </w:rPr>
        <w:t xml:space="preserve"> for customers in Southern California Edison territory</w:t>
      </w:r>
      <w:r w:rsidR="74CB41D0">
        <w:rPr>
          <w:color w:val="000000"/>
        </w:rPr>
        <w:t xml:space="preserve"> alone</w:t>
      </w:r>
      <w:r w:rsidRPr="006E5469">
        <w:rPr>
          <w:color w:val="000000"/>
        </w:rPr>
        <w:t>.</w:t>
      </w:r>
      <w:r w:rsidR="00891D88">
        <w:rPr>
          <w:rStyle w:val="FootnoteReference"/>
          <w:color w:val="000000"/>
        </w:rPr>
        <w:footnoteReference w:id="9"/>
      </w:r>
      <w:r w:rsidRPr="006E5469">
        <w:rPr>
          <w:color w:val="000000"/>
        </w:rPr>
        <w:t xml:space="preserve"> The threat of actual utility disconnection can lead to other issues. </w:t>
      </w:r>
      <w:r w:rsidR="4B34835F">
        <w:rPr>
          <w:color w:val="000000"/>
        </w:rPr>
        <w:t xml:space="preserve">Researchers Robert </w:t>
      </w:r>
      <w:r w:rsidRPr="006E5469">
        <w:rPr>
          <w:color w:val="000000"/>
        </w:rPr>
        <w:t xml:space="preserve">Levy and </w:t>
      </w:r>
      <w:r w:rsidR="4B34835F">
        <w:rPr>
          <w:color w:val="000000"/>
        </w:rPr>
        <w:t xml:space="preserve">Joshua </w:t>
      </w:r>
      <w:r w:rsidRPr="006E5469">
        <w:rPr>
          <w:color w:val="000000"/>
        </w:rPr>
        <w:t>Sledge found that paying utility bills was the most common reason for high-cost payday loans, which can worsen the cycle of poverty.</w:t>
      </w:r>
      <w:r w:rsidR="00891D88">
        <w:rPr>
          <w:rStyle w:val="FootnoteReference"/>
          <w:color w:val="000000"/>
        </w:rPr>
        <w:footnoteReference w:id="10"/>
      </w:r>
      <w:r w:rsidRPr="006E5469">
        <w:rPr>
          <w:color w:val="000000"/>
        </w:rPr>
        <w:t xml:space="preserve"> Other studies have found that shutting off utilities can contribute to homelessness.</w:t>
      </w:r>
      <w:r w:rsidR="00891D88">
        <w:rPr>
          <w:rStyle w:val="FootnoteReference"/>
          <w:color w:val="000000"/>
        </w:rPr>
        <w:footnoteReference w:id="11"/>
      </w:r>
      <w:r w:rsidRPr="006E5469">
        <w:rPr>
          <w:color w:val="000000"/>
        </w:rPr>
        <w:t xml:space="preserve"> </w:t>
      </w:r>
      <w:r w:rsidR="7DD4E7CD">
        <w:rPr>
          <w:color w:val="000000"/>
        </w:rPr>
        <w:t xml:space="preserve">Constraints on utility disconnections applied by regulators during the </w:t>
      </w:r>
      <w:r w:rsidR="4B34835F">
        <w:rPr>
          <w:color w:val="000000"/>
        </w:rPr>
        <w:t>COVID</w:t>
      </w:r>
      <w:r w:rsidR="7DD4E7CD">
        <w:rPr>
          <w:color w:val="000000"/>
        </w:rPr>
        <w:t xml:space="preserve">-19 pandemic </w:t>
      </w:r>
      <w:r w:rsidR="47F38132">
        <w:rPr>
          <w:color w:val="000000"/>
        </w:rPr>
        <w:t>m</w:t>
      </w:r>
      <w:r w:rsidR="4B34835F">
        <w:rPr>
          <w:color w:val="000000"/>
        </w:rPr>
        <w:t>ight</w:t>
      </w:r>
      <w:r w:rsidR="47F38132">
        <w:rPr>
          <w:color w:val="000000"/>
        </w:rPr>
        <w:t xml:space="preserve"> not offer long-term relief nor address the underlying economic causes and harms.</w:t>
      </w:r>
      <w:r w:rsidR="7DD4E7CD">
        <w:rPr>
          <w:color w:val="000000"/>
        </w:rPr>
        <w:t xml:space="preserve"> </w:t>
      </w:r>
    </w:p>
    <w:p w14:paraId="4E515223" w14:textId="607C145E" w:rsidR="00E74447" w:rsidRDefault="260BAA11" w:rsidP="727BFE15">
      <w:pPr>
        <w:rPr>
          <w:rFonts w:eastAsia="Times New Roman"/>
        </w:rPr>
      </w:pPr>
      <w:r w:rsidRPr="727BFE15">
        <w:rPr>
          <w:rFonts w:eastAsia="Times New Roman"/>
        </w:rPr>
        <w:t xml:space="preserve">Low-income households contending with </w:t>
      </w:r>
      <w:r w:rsidR="4B34835F" w:rsidRPr="727BFE15">
        <w:rPr>
          <w:rFonts w:eastAsia="Times New Roman"/>
        </w:rPr>
        <w:t xml:space="preserve">the effects </w:t>
      </w:r>
      <w:r w:rsidRPr="727BFE15">
        <w:rPr>
          <w:rFonts w:eastAsia="Times New Roman"/>
        </w:rPr>
        <w:t>of poverty</w:t>
      </w:r>
      <w:r w:rsidR="5A2C4E48" w:rsidRPr="727BFE15">
        <w:rPr>
          <w:rFonts w:eastAsia="Times New Roman"/>
        </w:rPr>
        <w:t>—</w:t>
      </w:r>
      <w:r w:rsidR="4B34835F" w:rsidRPr="727BFE15">
        <w:rPr>
          <w:rFonts w:eastAsia="Times New Roman"/>
        </w:rPr>
        <w:t xml:space="preserve">and </w:t>
      </w:r>
      <w:r w:rsidR="707AAE9C" w:rsidRPr="727BFE15">
        <w:rPr>
          <w:rFonts w:eastAsia="Times New Roman"/>
        </w:rPr>
        <w:t xml:space="preserve">even </w:t>
      </w:r>
      <w:r w:rsidRPr="727BFE15">
        <w:rPr>
          <w:rFonts w:eastAsia="Times New Roman"/>
        </w:rPr>
        <w:t xml:space="preserve">moderate-income households, some households </w:t>
      </w:r>
      <w:r w:rsidR="707AAE9C" w:rsidRPr="727BFE15">
        <w:rPr>
          <w:rFonts w:eastAsia="Times New Roman"/>
        </w:rPr>
        <w:t xml:space="preserve">just </w:t>
      </w:r>
      <w:r w:rsidRPr="727BFE15">
        <w:rPr>
          <w:rFonts w:eastAsia="Times New Roman"/>
        </w:rPr>
        <w:t>above moderate-income, and renters at every income level</w:t>
      </w:r>
      <w:r w:rsidR="5A2C4E48" w:rsidRPr="727BFE15">
        <w:rPr>
          <w:rFonts w:eastAsia="Times New Roman"/>
        </w:rPr>
        <w:t xml:space="preserve">— </w:t>
      </w:r>
      <w:r w:rsidRPr="727BFE15">
        <w:rPr>
          <w:rFonts w:eastAsia="Times New Roman"/>
        </w:rPr>
        <w:t xml:space="preserve"> together face barriers to making investments in clean energy upgrades, including building decarbonization:</w:t>
      </w:r>
    </w:p>
    <w:p w14:paraId="20C8E3C1" w14:textId="765DCBBE" w:rsidR="00E74447" w:rsidRDefault="260BAA11" w:rsidP="727BFE15">
      <w:pPr>
        <w:pStyle w:val="ListParagraph"/>
        <w:numPr>
          <w:ilvl w:val="0"/>
          <w:numId w:val="12"/>
        </w:numPr>
        <w:spacing w:before="80" w:line="276" w:lineRule="auto"/>
        <w:rPr>
          <w:rFonts w:eastAsia="Times New Roman"/>
        </w:rPr>
      </w:pPr>
      <w:r w:rsidRPr="727BFE15">
        <w:rPr>
          <w:rFonts w:eastAsia="Times New Roman"/>
          <w:b/>
          <w:bCs/>
        </w:rPr>
        <w:t>Tenant / landlord split incentives deterring investment.</w:t>
      </w:r>
      <w:r w:rsidRPr="727BFE15">
        <w:rPr>
          <w:rFonts w:eastAsia="Times New Roman"/>
        </w:rPr>
        <w:t xml:space="preserve"> A landlord </w:t>
      </w:r>
      <w:r w:rsidR="5A2C4E48" w:rsidRPr="727BFE15">
        <w:rPr>
          <w:rFonts w:eastAsia="Times New Roman"/>
        </w:rPr>
        <w:t xml:space="preserve">might </w:t>
      </w:r>
      <w:r w:rsidRPr="727BFE15">
        <w:rPr>
          <w:rFonts w:eastAsia="Times New Roman"/>
        </w:rPr>
        <w:t>decline to participate in an energy program if the landlord must make the capital outlay, but the benefits largely flow to the tenant paying the utility bills. Likewise, tenants m</w:t>
      </w:r>
      <w:r w:rsidR="79EE1141" w:rsidRPr="727BFE15">
        <w:rPr>
          <w:rFonts w:eastAsia="Times New Roman"/>
        </w:rPr>
        <w:t xml:space="preserve">ight </w:t>
      </w:r>
      <w:r w:rsidRPr="727BFE15">
        <w:rPr>
          <w:rFonts w:eastAsia="Times New Roman"/>
        </w:rPr>
        <w:t xml:space="preserve">decline to participate if they must pay the </w:t>
      </w:r>
      <w:r w:rsidR="79EE1141" w:rsidRPr="727BFE15">
        <w:rPr>
          <w:rFonts w:eastAsia="Times New Roman"/>
        </w:rPr>
        <w:t>upfront</w:t>
      </w:r>
      <w:r w:rsidRPr="727BFE15">
        <w:rPr>
          <w:rFonts w:eastAsia="Times New Roman"/>
        </w:rPr>
        <w:t xml:space="preserve"> improvement costs but are unable to reap the full financial benefits. One</w:t>
      </w:r>
      <w:r w:rsidR="79EE1141" w:rsidRPr="727BFE15">
        <w:rPr>
          <w:rFonts w:eastAsia="Times New Roman"/>
        </w:rPr>
        <w:t>-</w:t>
      </w:r>
      <w:r w:rsidRPr="727BFE15">
        <w:rPr>
          <w:rFonts w:eastAsia="Times New Roman"/>
        </w:rPr>
        <w:t xml:space="preserve">quarter of Californians are renters who are living on low or extremely low incomes, and the </w:t>
      </w:r>
      <w:r w:rsidR="53309EF4" w:rsidRPr="727BFE15">
        <w:rPr>
          <w:rFonts w:eastAsia="Times New Roman"/>
        </w:rPr>
        <w:t>California Energy Commission’s (</w:t>
      </w:r>
      <w:r w:rsidRPr="727BFE15">
        <w:rPr>
          <w:rFonts w:eastAsia="Times New Roman"/>
        </w:rPr>
        <w:t>CEC’s</w:t>
      </w:r>
      <w:r w:rsidR="53309EF4" w:rsidRPr="727BFE15">
        <w:rPr>
          <w:rFonts w:eastAsia="Times New Roman"/>
        </w:rPr>
        <w:t>)</w:t>
      </w:r>
      <w:r w:rsidRPr="727BFE15">
        <w:rPr>
          <w:rFonts w:eastAsia="Times New Roman"/>
        </w:rPr>
        <w:t xml:space="preserve"> Barriers Study found this issue affects </w:t>
      </w:r>
      <w:r w:rsidR="53309EF4" w:rsidRPr="727BFE15">
        <w:rPr>
          <w:rFonts w:eastAsia="Times New Roman"/>
        </w:rPr>
        <w:t xml:space="preserve">that rental segment </w:t>
      </w:r>
      <w:r w:rsidRPr="727BFE15">
        <w:rPr>
          <w:rFonts w:eastAsia="Times New Roman"/>
        </w:rPr>
        <w:t>most acutely.</w:t>
      </w:r>
      <w:r w:rsidR="005355DA" w:rsidRPr="727BFE15">
        <w:rPr>
          <w:rStyle w:val="FootnoteReference"/>
          <w:rFonts w:eastAsia="Times New Roman"/>
        </w:rPr>
        <w:footnoteReference w:id="12"/>
      </w:r>
    </w:p>
    <w:p w14:paraId="55D63130" w14:textId="1E532B1E" w:rsidR="00E74447" w:rsidRDefault="260BAA11" w:rsidP="727BFE15">
      <w:pPr>
        <w:pStyle w:val="ListParagraph"/>
        <w:numPr>
          <w:ilvl w:val="0"/>
          <w:numId w:val="12"/>
        </w:numPr>
        <w:spacing w:before="80" w:line="276" w:lineRule="auto"/>
        <w:rPr>
          <w:rFonts w:eastAsia="Times New Roman"/>
        </w:rPr>
      </w:pPr>
      <w:r w:rsidRPr="727BFE15">
        <w:rPr>
          <w:rFonts w:eastAsia="Times New Roman"/>
          <w:b/>
          <w:bCs/>
        </w:rPr>
        <w:t>Lack of access to capital and cash flow constraints.</w:t>
      </w:r>
      <w:r w:rsidRPr="727BFE15">
        <w:rPr>
          <w:rFonts w:eastAsia="Times New Roman"/>
        </w:rPr>
        <w:t xml:space="preserve"> Currently, one</w:t>
      </w:r>
      <w:r w:rsidR="2170FDB7" w:rsidRPr="727BFE15">
        <w:rPr>
          <w:rFonts w:eastAsia="Times New Roman"/>
        </w:rPr>
        <w:t>-</w:t>
      </w:r>
      <w:r w:rsidRPr="727BFE15">
        <w:rPr>
          <w:rFonts w:eastAsia="Times New Roman"/>
        </w:rPr>
        <w:t xml:space="preserve">third of Californians lack sufficient income to meet their basic needs. </w:t>
      </w:r>
      <w:r w:rsidR="08348269" w:rsidRPr="727BFE15">
        <w:rPr>
          <w:rFonts w:eastAsia="Times New Roman"/>
        </w:rPr>
        <w:t xml:space="preserve">LMI households </w:t>
      </w:r>
      <w:r w:rsidR="1D3755F2" w:rsidRPr="727BFE15">
        <w:rPr>
          <w:rFonts w:eastAsia="Times New Roman"/>
        </w:rPr>
        <w:t>face m</w:t>
      </w:r>
      <w:r w:rsidRPr="727BFE15">
        <w:rPr>
          <w:rFonts w:eastAsia="Times New Roman"/>
        </w:rPr>
        <w:t>any competing demands</w:t>
      </w:r>
      <w:r w:rsidR="1D3755F2" w:rsidRPr="727BFE15">
        <w:rPr>
          <w:rFonts w:eastAsia="Times New Roman"/>
        </w:rPr>
        <w:t>,</w:t>
      </w:r>
      <w:r w:rsidRPr="727BFE15">
        <w:rPr>
          <w:rFonts w:eastAsia="Times New Roman"/>
        </w:rPr>
        <w:t xml:space="preserve"> such as childcare </w:t>
      </w:r>
      <w:r w:rsidR="5FEFC086" w:rsidRPr="727BFE15">
        <w:rPr>
          <w:rFonts w:eastAsia="Times New Roman"/>
        </w:rPr>
        <w:t xml:space="preserve">and </w:t>
      </w:r>
      <w:r w:rsidRPr="727BFE15">
        <w:rPr>
          <w:rFonts w:eastAsia="Times New Roman"/>
        </w:rPr>
        <w:t>medical expenses</w:t>
      </w:r>
      <w:r w:rsidR="1D3755F2" w:rsidRPr="727BFE15">
        <w:rPr>
          <w:rFonts w:eastAsia="Times New Roman"/>
        </w:rPr>
        <w:t xml:space="preserve">; these </w:t>
      </w:r>
      <w:r w:rsidR="5FEFC086" w:rsidRPr="727BFE15">
        <w:rPr>
          <w:rFonts w:eastAsia="Times New Roman"/>
        </w:rPr>
        <w:t xml:space="preserve">demands </w:t>
      </w:r>
      <w:r w:rsidRPr="727BFE15">
        <w:rPr>
          <w:rFonts w:eastAsia="Times New Roman"/>
        </w:rPr>
        <w:t xml:space="preserve">pose barriers to economic opportunities that are not immediately cash positive. </w:t>
      </w:r>
    </w:p>
    <w:p w14:paraId="1529E29F" w14:textId="29EA73C0" w:rsidR="00E74447" w:rsidRDefault="260BAA11" w:rsidP="727BFE15">
      <w:pPr>
        <w:pStyle w:val="ListParagraph"/>
        <w:numPr>
          <w:ilvl w:val="0"/>
          <w:numId w:val="12"/>
        </w:numPr>
        <w:spacing w:before="80" w:line="276" w:lineRule="auto"/>
        <w:rPr>
          <w:rFonts w:eastAsia="Times New Roman"/>
        </w:rPr>
      </w:pPr>
      <w:r w:rsidRPr="727BFE15">
        <w:rPr>
          <w:rFonts w:eastAsia="Times New Roman"/>
          <w:b/>
          <w:bCs/>
        </w:rPr>
        <w:t>Credit score qualification criteria that limit access to consumer credit.</w:t>
      </w:r>
      <w:r w:rsidR="1D3755F2" w:rsidRPr="727BFE15">
        <w:rPr>
          <w:rFonts w:eastAsia="Times New Roman"/>
          <w:b/>
          <w:bCs/>
        </w:rPr>
        <w:t xml:space="preserve"> </w:t>
      </w:r>
      <w:r w:rsidR="1D3755F2" w:rsidRPr="727BFE15">
        <w:rPr>
          <w:rFonts w:eastAsia="Times New Roman"/>
        </w:rPr>
        <w:t xml:space="preserve">People who can demonstrate </w:t>
      </w:r>
      <w:r w:rsidR="1459DB13" w:rsidRPr="727BFE15">
        <w:rPr>
          <w:rFonts w:eastAsia="Times New Roman"/>
        </w:rPr>
        <w:t>a credit history score above a minimum threshold typically have a</w:t>
      </w:r>
      <w:r w:rsidRPr="727BFE15">
        <w:rPr>
          <w:rFonts w:eastAsia="Times New Roman"/>
        </w:rPr>
        <w:t>ccess to financing</w:t>
      </w:r>
      <w:r w:rsidR="3884FAFB" w:rsidRPr="727BFE15">
        <w:rPr>
          <w:rFonts w:eastAsia="Times New Roman"/>
        </w:rPr>
        <w:t>, whereas others do not</w:t>
      </w:r>
      <w:r w:rsidR="1459DB13" w:rsidRPr="727BFE15">
        <w:rPr>
          <w:rFonts w:eastAsia="Times New Roman"/>
        </w:rPr>
        <w:t xml:space="preserve">. </w:t>
      </w:r>
      <w:r w:rsidR="3884FAFB" w:rsidRPr="727BFE15">
        <w:rPr>
          <w:rFonts w:eastAsia="Times New Roman"/>
        </w:rPr>
        <w:t>T</w:t>
      </w:r>
      <w:r w:rsidRPr="727BFE15">
        <w:rPr>
          <w:rFonts w:eastAsia="Times New Roman"/>
        </w:rPr>
        <w:t xml:space="preserve">he Federal Reserve Board suggests that household income is only moderately correlated with consumers' credit scores. Thus, these challenges are not </w:t>
      </w:r>
      <w:r w:rsidR="156E0F05" w:rsidRPr="727BFE15">
        <w:rPr>
          <w:rFonts w:eastAsia="Times New Roman"/>
        </w:rPr>
        <w:t xml:space="preserve">confined </w:t>
      </w:r>
      <w:r w:rsidRPr="727BFE15">
        <w:rPr>
          <w:rFonts w:eastAsia="Times New Roman"/>
        </w:rPr>
        <w:t>to low-income households</w:t>
      </w:r>
      <w:r w:rsidR="156E0F05" w:rsidRPr="727BFE15">
        <w:rPr>
          <w:rFonts w:eastAsia="Times New Roman"/>
        </w:rPr>
        <w:t xml:space="preserve">. </w:t>
      </w:r>
      <w:r w:rsidR="3B4F1DEC" w:rsidRPr="727BFE15">
        <w:rPr>
          <w:rFonts w:eastAsia="Times New Roman"/>
        </w:rPr>
        <w:t xml:space="preserve">Jurisdictions can expect increases in </w:t>
      </w:r>
      <w:r w:rsidRPr="727BFE15">
        <w:rPr>
          <w:rFonts w:eastAsia="Times New Roman"/>
        </w:rPr>
        <w:t xml:space="preserve">the </w:t>
      </w:r>
      <w:r w:rsidR="4E9E0A1E" w:rsidRPr="727BFE15">
        <w:rPr>
          <w:rFonts w:eastAsia="Times New Roman"/>
        </w:rPr>
        <w:t xml:space="preserve">size of </w:t>
      </w:r>
      <w:r w:rsidRPr="727BFE15">
        <w:rPr>
          <w:rFonts w:eastAsia="Times New Roman"/>
        </w:rPr>
        <w:t xml:space="preserve">population </w:t>
      </w:r>
      <w:r w:rsidR="4E9E0A1E" w:rsidRPr="727BFE15">
        <w:rPr>
          <w:rFonts w:eastAsia="Times New Roman"/>
        </w:rPr>
        <w:t xml:space="preserve">that needs </w:t>
      </w:r>
      <w:r w:rsidR="3B4F1DEC" w:rsidRPr="727BFE15">
        <w:rPr>
          <w:rFonts w:eastAsia="Times New Roman"/>
        </w:rPr>
        <w:t>access to capital</w:t>
      </w:r>
      <w:r w:rsidR="49BB7B6C" w:rsidRPr="727BFE15">
        <w:rPr>
          <w:rFonts w:eastAsia="Times New Roman"/>
        </w:rPr>
        <w:t xml:space="preserve">, and therefore assume a </w:t>
      </w:r>
      <w:r w:rsidR="4E9E0A1E" w:rsidRPr="727BFE15">
        <w:rPr>
          <w:rFonts w:eastAsia="Times New Roman"/>
        </w:rPr>
        <w:t xml:space="preserve">correlating </w:t>
      </w:r>
      <w:r w:rsidR="49BB7B6C" w:rsidRPr="727BFE15">
        <w:rPr>
          <w:rFonts w:eastAsia="Times New Roman"/>
        </w:rPr>
        <w:t xml:space="preserve">need for </w:t>
      </w:r>
      <w:r w:rsidRPr="727BFE15">
        <w:rPr>
          <w:rFonts w:eastAsia="Times New Roman"/>
        </w:rPr>
        <w:t>an option</w:t>
      </w:r>
      <w:r w:rsidR="7B82CFD1" w:rsidRPr="727BFE15">
        <w:rPr>
          <w:rFonts w:eastAsia="Times New Roman"/>
        </w:rPr>
        <w:t xml:space="preserve"> that overcomes</w:t>
      </w:r>
      <w:r w:rsidRPr="727BFE15">
        <w:rPr>
          <w:rFonts w:eastAsia="Times New Roman"/>
        </w:rPr>
        <w:t xml:space="preserve"> the upfront investment costs</w:t>
      </w:r>
      <w:r w:rsidR="4E9E0A1E" w:rsidRPr="727BFE15">
        <w:rPr>
          <w:rFonts w:eastAsia="Times New Roman"/>
        </w:rPr>
        <w:t>,</w:t>
      </w:r>
      <w:r w:rsidRPr="727BFE15">
        <w:rPr>
          <w:rFonts w:eastAsia="Times New Roman"/>
        </w:rPr>
        <w:t xml:space="preserve"> without depending on </w:t>
      </w:r>
      <w:r w:rsidR="4E9E0A1E" w:rsidRPr="727BFE15">
        <w:rPr>
          <w:rFonts w:eastAsia="Times New Roman"/>
        </w:rPr>
        <w:t xml:space="preserve">only the </w:t>
      </w:r>
      <w:r w:rsidRPr="727BFE15">
        <w:rPr>
          <w:rFonts w:eastAsia="Times New Roman"/>
        </w:rPr>
        <w:t>consumer credit</w:t>
      </w:r>
      <w:r w:rsidR="4E9E0A1E" w:rsidRPr="727BFE15">
        <w:rPr>
          <w:rFonts w:eastAsia="Times New Roman"/>
        </w:rPr>
        <w:t xml:space="preserve"> option</w:t>
      </w:r>
      <w:r w:rsidRPr="727BFE15">
        <w:rPr>
          <w:rFonts w:eastAsia="Times New Roman"/>
        </w:rPr>
        <w:t>.</w:t>
      </w:r>
    </w:p>
    <w:p w14:paraId="02E79B9F" w14:textId="1BD7D992" w:rsidR="00E74447" w:rsidRDefault="260BAA11" w:rsidP="727BFE15">
      <w:pPr>
        <w:rPr>
          <w:rFonts w:eastAsia="Times New Roman"/>
        </w:rPr>
      </w:pPr>
      <w:r w:rsidRPr="727BFE15">
        <w:rPr>
          <w:rFonts w:eastAsia="Times New Roman"/>
        </w:rPr>
        <w:t xml:space="preserve">Taken together, </w:t>
      </w:r>
      <w:r w:rsidR="5E468704" w:rsidRPr="727BFE15">
        <w:rPr>
          <w:rFonts w:eastAsia="Times New Roman"/>
        </w:rPr>
        <w:t xml:space="preserve">the BDC found that </w:t>
      </w:r>
      <w:r w:rsidRPr="727BFE15">
        <w:rPr>
          <w:rFonts w:eastAsia="Times New Roman"/>
        </w:rPr>
        <w:t xml:space="preserve">approximately 6 million households, or more than 40 percent of all California households, lack ready access to private capital for upgrading their homes. </w:t>
      </w:r>
    </w:p>
    <w:p w14:paraId="0A49DC89" w14:textId="6E68C4FD" w:rsidR="00E74447" w:rsidRDefault="260BAA11" w:rsidP="727BFE15">
      <w:pPr>
        <w:rPr>
          <w:rFonts w:eastAsia="Times New Roman"/>
        </w:rPr>
      </w:pPr>
      <w:r w:rsidRPr="727BFE15">
        <w:rPr>
          <w:rFonts w:eastAsia="Times New Roman"/>
        </w:rPr>
        <w:t xml:space="preserve">Given these financial barriers, California has historically </w:t>
      </w:r>
      <w:r w:rsidR="0481EB1E" w:rsidRPr="727BFE15">
        <w:rPr>
          <w:rFonts w:eastAsia="Times New Roman"/>
        </w:rPr>
        <w:t xml:space="preserve">preferred </w:t>
      </w:r>
      <w:r w:rsidRPr="727BFE15">
        <w:rPr>
          <w:rFonts w:eastAsia="Times New Roman"/>
        </w:rPr>
        <w:t xml:space="preserve">100 percent grant programs to bring energy efficiency and renewable energy services to a </w:t>
      </w:r>
      <w:r w:rsidR="6AD67F4B" w:rsidRPr="727BFE15">
        <w:rPr>
          <w:rFonts w:eastAsia="Times New Roman"/>
        </w:rPr>
        <w:t xml:space="preserve">small </w:t>
      </w:r>
      <w:r w:rsidRPr="727BFE15">
        <w:rPr>
          <w:rFonts w:eastAsia="Times New Roman"/>
        </w:rPr>
        <w:t>number of lower</w:t>
      </w:r>
      <w:r w:rsidR="6AD67F4B" w:rsidRPr="727BFE15">
        <w:rPr>
          <w:rFonts w:eastAsia="Times New Roman"/>
        </w:rPr>
        <w:t>-</w:t>
      </w:r>
      <w:r w:rsidRPr="727BFE15">
        <w:rPr>
          <w:rFonts w:eastAsia="Times New Roman"/>
        </w:rPr>
        <w:t xml:space="preserve">income households each year. For households with </w:t>
      </w:r>
      <w:r w:rsidR="346825C6" w:rsidRPr="727BFE15">
        <w:rPr>
          <w:rFonts w:eastAsia="Times New Roman"/>
        </w:rPr>
        <w:t xml:space="preserve">at least </w:t>
      </w:r>
      <w:r w:rsidRPr="727BFE15">
        <w:rPr>
          <w:rFonts w:eastAsia="Times New Roman"/>
        </w:rPr>
        <w:t>moderate income</w:t>
      </w:r>
      <w:r w:rsidR="13D07D52" w:rsidRPr="727BFE15">
        <w:rPr>
          <w:rFonts w:eastAsia="Times New Roman"/>
        </w:rPr>
        <w:t>s</w:t>
      </w:r>
      <w:r w:rsidRPr="727BFE15">
        <w:rPr>
          <w:rFonts w:eastAsia="Times New Roman"/>
        </w:rPr>
        <w:t xml:space="preserve">, </w:t>
      </w:r>
      <w:r w:rsidR="76A14E7D" w:rsidRPr="727BFE15">
        <w:rPr>
          <w:rFonts w:eastAsia="Times New Roman"/>
        </w:rPr>
        <w:t>California</w:t>
      </w:r>
      <w:r w:rsidRPr="727BFE15">
        <w:rPr>
          <w:rFonts w:eastAsia="Times New Roman"/>
        </w:rPr>
        <w:t xml:space="preserve"> has sought to overcome the upfront cost barrier by offering rebate</w:t>
      </w:r>
      <w:r w:rsidR="346825C6" w:rsidRPr="727BFE15">
        <w:rPr>
          <w:rFonts w:eastAsia="Times New Roman"/>
        </w:rPr>
        <w:t>s</w:t>
      </w:r>
      <w:r w:rsidRPr="727BFE15">
        <w:rPr>
          <w:rFonts w:eastAsia="Times New Roman"/>
        </w:rPr>
        <w:t xml:space="preserve"> to reimburse customers who must </w:t>
      </w:r>
      <w:r w:rsidR="5FEFC086" w:rsidRPr="727BFE15">
        <w:rPr>
          <w:rFonts w:eastAsia="Times New Roman"/>
        </w:rPr>
        <w:t xml:space="preserve">first </w:t>
      </w:r>
      <w:r w:rsidRPr="727BFE15">
        <w:rPr>
          <w:rFonts w:eastAsia="Times New Roman"/>
        </w:rPr>
        <w:t xml:space="preserve">pay the full upfront cost for eligible upgrades. </w:t>
      </w:r>
    </w:p>
    <w:p w14:paraId="4E9E28F8" w14:textId="793E08F7" w:rsidR="00E74447" w:rsidRDefault="260BAA11" w:rsidP="727BFE15">
      <w:pPr>
        <w:rPr>
          <w:rFonts w:eastAsia="Times New Roman"/>
        </w:rPr>
      </w:pPr>
      <w:r w:rsidRPr="727BFE15">
        <w:rPr>
          <w:rFonts w:eastAsia="Times New Roman"/>
        </w:rPr>
        <w:t>Signatories to the Equitable Building Electrification Framework</w:t>
      </w:r>
      <w:r w:rsidR="00171CB4">
        <w:rPr>
          <w:rStyle w:val="FootnoteReference"/>
          <w:rFonts w:eastAsia="Times New Roman"/>
          <w:szCs w:val="22"/>
        </w:rPr>
        <w:footnoteReference w:id="13"/>
      </w:r>
      <w:r w:rsidRPr="727BFE15">
        <w:rPr>
          <w:rFonts w:eastAsia="Times New Roman"/>
        </w:rPr>
        <w:t xml:space="preserve"> have raised concerns about the equity implications of such strategies, citing studies that have found the majority of benefits flowed to higher</w:t>
      </w:r>
      <w:r w:rsidR="7B82CFD1" w:rsidRPr="727BFE15">
        <w:rPr>
          <w:rFonts w:eastAsia="Times New Roman"/>
        </w:rPr>
        <w:t>-</w:t>
      </w:r>
      <w:r w:rsidRPr="727BFE15">
        <w:rPr>
          <w:rFonts w:eastAsia="Times New Roman"/>
        </w:rPr>
        <w:t>income households.</w:t>
      </w:r>
      <w:r w:rsidRPr="727BFE15">
        <w:rPr>
          <w:rFonts w:eastAsia="Times New Roman"/>
          <w:vertAlign w:val="superscript"/>
        </w:rPr>
        <w:t>1</w:t>
      </w:r>
      <w:r w:rsidR="004D6809">
        <w:rPr>
          <w:rFonts w:eastAsia="Times New Roman"/>
          <w:vertAlign w:val="superscript"/>
        </w:rPr>
        <w:t>1</w:t>
      </w:r>
      <w:r w:rsidRPr="727BFE15">
        <w:rPr>
          <w:rFonts w:eastAsia="Times New Roman"/>
        </w:rPr>
        <w:t xml:space="preserve"> They set forth a vision for an equitable approach to building electrification that prioritizes attention to constituents described by the CPUC as</w:t>
      </w:r>
      <w:r w:rsidR="739E1491" w:rsidRPr="727BFE15">
        <w:rPr>
          <w:rFonts w:eastAsia="Times New Roman"/>
        </w:rPr>
        <w:t xml:space="preserve"> </w:t>
      </w:r>
      <w:r w:rsidR="39567C21" w:rsidRPr="727BFE15">
        <w:rPr>
          <w:rFonts w:eastAsia="Times New Roman"/>
          <w:i/>
          <w:iCs/>
        </w:rPr>
        <w:t>e</w:t>
      </w:r>
      <w:r w:rsidR="739E1491" w:rsidRPr="727BFE15">
        <w:rPr>
          <w:rFonts w:eastAsia="Times New Roman"/>
          <w:i/>
          <w:iCs/>
        </w:rPr>
        <w:t xml:space="preserve">nvironmental and </w:t>
      </w:r>
      <w:r w:rsidR="39567C21" w:rsidRPr="727BFE15">
        <w:rPr>
          <w:rFonts w:eastAsia="Times New Roman"/>
          <w:i/>
          <w:iCs/>
        </w:rPr>
        <w:t>s</w:t>
      </w:r>
      <w:r w:rsidR="739E1491" w:rsidRPr="727BFE15">
        <w:rPr>
          <w:rFonts w:eastAsia="Times New Roman"/>
          <w:i/>
          <w:iCs/>
        </w:rPr>
        <w:t xml:space="preserve">ocial </w:t>
      </w:r>
      <w:r w:rsidR="39567C21" w:rsidRPr="727BFE15">
        <w:rPr>
          <w:rFonts w:eastAsia="Times New Roman"/>
          <w:i/>
          <w:iCs/>
        </w:rPr>
        <w:t>j</w:t>
      </w:r>
      <w:r w:rsidR="739E1491" w:rsidRPr="727BFE15">
        <w:rPr>
          <w:rFonts w:eastAsia="Times New Roman"/>
          <w:i/>
          <w:iCs/>
        </w:rPr>
        <w:t>ustice</w:t>
      </w:r>
      <w:r w:rsidR="739E1491" w:rsidRPr="727BFE15">
        <w:rPr>
          <w:rFonts w:eastAsia="Times New Roman"/>
        </w:rPr>
        <w:t xml:space="preserve"> </w:t>
      </w:r>
      <w:r w:rsidR="39567C21" w:rsidRPr="727BFE15">
        <w:rPr>
          <w:rFonts w:eastAsia="Times New Roman"/>
        </w:rPr>
        <w:t>(ESJ) c</w:t>
      </w:r>
      <w:r w:rsidR="39567C21" w:rsidRPr="727BFE15">
        <w:rPr>
          <w:rFonts w:eastAsia="Times New Roman"/>
          <w:i/>
          <w:iCs/>
        </w:rPr>
        <w:t>ommunities</w:t>
      </w:r>
      <w:r w:rsidRPr="727BFE15">
        <w:rPr>
          <w:rFonts w:eastAsia="Times New Roman"/>
        </w:rPr>
        <w:t>:</w:t>
      </w:r>
    </w:p>
    <w:p w14:paraId="2496A194" w14:textId="56250888" w:rsidR="00E74447" w:rsidRDefault="260BAA11" w:rsidP="00E74447">
      <w:pPr>
        <w:ind w:left="720"/>
        <w:rPr>
          <w:rFonts w:eastAsia="Times New Roman"/>
          <w:szCs w:val="22"/>
        </w:rPr>
      </w:pPr>
      <w:r w:rsidRPr="727BFE15">
        <w:rPr>
          <w:rFonts w:eastAsia="Times New Roman"/>
        </w:rPr>
        <w:t>Clean energy movements of the past, including rooftop solar and energy efficiency, have benefited those on the higher end of the income scale far more than those on the lower end, and have been slow to gain traction in ESJ communities. This pattern of relying on a market-driven, trickle-down approach that largely fails to deliver has led to significant distrust among the communities that are still waiting for their share of benefits. Through building electrification, California can break out of this pattern and create a plan that actively centers environmental justice and equity from the start. This must begin by targeting what the California Public Utilities Commission has termed environmental and social justice communities, the communities that have been long left behind by the state’s thriving green economy.</w:t>
      </w:r>
      <w:r w:rsidR="009715AE">
        <w:rPr>
          <w:rStyle w:val="FootnoteReference"/>
          <w:rFonts w:eastAsia="Times New Roman"/>
          <w:szCs w:val="22"/>
        </w:rPr>
        <w:footnoteReference w:id="14"/>
      </w:r>
      <w:r w:rsidRPr="727BFE15">
        <w:rPr>
          <w:rFonts w:eastAsia="Times New Roman"/>
        </w:rPr>
        <w:t xml:space="preserve"> </w:t>
      </w:r>
    </w:p>
    <w:p w14:paraId="1B198BAD" w14:textId="01E3A080" w:rsidR="00576DD5" w:rsidRPr="004515F7" w:rsidRDefault="054C71B6" w:rsidP="004515F7">
      <w:pPr>
        <w:rPr>
          <w:highlight w:val="cyan"/>
        </w:rPr>
      </w:pPr>
      <w:r w:rsidRPr="727BFE15">
        <w:rPr>
          <w:rFonts w:eastAsia="Times New Roman"/>
        </w:rPr>
        <w:t>R</w:t>
      </w:r>
      <w:r w:rsidR="7E3DA3B2" w:rsidRPr="727BFE15">
        <w:rPr>
          <w:rFonts w:eastAsia="Times New Roman"/>
        </w:rPr>
        <w:t>elying on the same historic</w:t>
      </w:r>
      <w:r w:rsidRPr="727BFE15">
        <w:rPr>
          <w:rFonts w:eastAsia="Times New Roman"/>
        </w:rPr>
        <w:t>al</w:t>
      </w:r>
      <w:r w:rsidR="7E3DA3B2" w:rsidRPr="727BFE15">
        <w:rPr>
          <w:rFonts w:eastAsia="Times New Roman"/>
        </w:rPr>
        <w:t xml:space="preserve"> </w:t>
      </w:r>
      <w:r w:rsidRPr="727BFE15">
        <w:rPr>
          <w:rFonts w:eastAsia="Times New Roman"/>
        </w:rPr>
        <w:t xml:space="preserve">strategies </w:t>
      </w:r>
      <w:r w:rsidR="7E3DA3B2" w:rsidRPr="727BFE15">
        <w:rPr>
          <w:rFonts w:eastAsia="Times New Roman"/>
        </w:rPr>
        <w:t>would also appear insufficient to capitalize building decarbonization upgrades, given the number of households affected by the barriers above. Assuming financial assistance for 6 million LMI and renter decarbonization upgrades will be needed by 2045, a grant-only solution for electrification of space conditioning and water heating in the range of $12,000</w:t>
      </w:r>
      <w:r w:rsidR="55465EB8" w:rsidRPr="727BFE15">
        <w:rPr>
          <w:rFonts w:eastAsia="Times New Roman"/>
        </w:rPr>
        <w:t xml:space="preserve"> to </w:t>
      </w:r>
      <w:r w:rsidR="7E3DA3B2" w:rsidRPr="727BFE15">
        <w:rPr>
          <w:rFonts w:eastAsia="Times New Roman"/>
        </w:rPr>
        <w:t xml:space="preserve">$25,000 per household would require a cumulative public and ratepayer </w:t>
      </w:r>
      <w:r w:rsidR="2B498757" w:rsidRPr="727BFE15">
        <w:rPr>
          <w:rFonts w:eastAsia="Times New Roman"/>
        </w:rPr>
        <w:t>spending</w:t>
      </w:r>
      <w:r w:rsidR="7E3DA3B2" w:rsidRPr="727BFE15">
        <w:rPr>
          <w:rFonts w:eastAsia="Times New Roman"/>
        </w:rPr>
        <w:t xml:space="preserve"> on the order of $72</w:t>
      </w:r>
      <w:r w:rsidR="55465EB8" w:rsidRPr="727BFE15">
        <w:rPr>
          <w:rFonts w:eastAsia="Times New Roman"/>
        </w:rPr>
        <w:t xml:space="preserve"> to $</w:t>
      </w:r>
      <w:r w:rsidR="7E3DA3B2" w:rsidRPr="727BFE15">
        <w:rPr>
          <w:rFonts w:eastAsia="Times New Roman"/>
        </w:rPr>
        <w:t>150 billion. This level of spending on building decarbonization would dwarf any public expenditure the state of California has made for energy efficiency or renewable energy programs.</w:t>
      </w:r>
    </w:p>
    <w:p w14:paraId="48711073" w14:textId="198850FF" w:rsidR="4C18BD8E" w:rsidRDefault="05D0A3D8" w:rsidP="6A5D419A">
      <w:pPr>
        <w:pStyle w:val="Heading2"/>
        <w:rPr>
          <w:rFonts w:eastAsia="Arial"/>
        </w:rPr>
      </w:pPr>
      <w:bookmarkStart w:id="11" w:name="_Toc98921600"/>
      <w:r w:rsidRPr="727BFE15">
        <w:rPr>
          <w:rFonts w:eastAsia="Arial"/>
        </w:rPr>
        <w:t xml:space="preserve">Financial Pro Forma, </w:t>
      </w:r>
      <w:r w:rsidR="2BABA993" w:rsidRPr="727BFE15">
        <w:rPr>
          <w:rFonts w:eastAsia="Arial"/>
        </w:rPr>
        <w:t xml:space="preserve">and </w:t>
      </w:r>
      <w:r w:rsidRPr="727BFE15">
        <w:rPr>
          <w:rFonts w:eastAsia="Arial"/>
        </w:rPr>
        <w:t>Expected Benefits and Costs</w:t>
      </w:r>
      <w:bookmarkEnd w:id="11"/>
    </w:p>
    <w:p w14:paraId="7165C684" w14:textId="59C078D3" w:rsidR="001C6255" w:rsidRDefault="00C575B8" w:rsidP="727BFE15">
      <w:pPr>
        <w:rPr>
          <w:rFonts w:ascii="Palatino Linotype" w:eastAsia="Palatino Linotype" w:hAnsi="Palatino Linotype"/>
          <w:i/>
          <w:iCs/>
          <w:color w:val="141414"/>
        </w:rPr>
      </w:pPr>
      <w:r>
        <w:rPr>
          <w:rFonts w:ascii="Palatino Linotype" w:eastAsia="Palatino Linotype" w:hAnsi="Palatino Linotype"/>
          <w:i/>
          <w:iCs/>
          <w:color w:val="141414"/>
        </w:rPr>
        <w:t>Guidance from CPUC ACR</w:t>
      </w:r>
      <w:r w:rsidR="2BABA993" w:rsidRPr="727BFE15">
        <w:rPr>
          <w:rFonts w:ascii="Palatino Linotype" w:eastAsia="Palatino Linotype" w:hAnsi="Palatino Linotype"/>
          <w:i/>
          <w:iCs/>
          <w:color w:val="141414"/>
        </w:rPr>
        <w:t>:</w:t>
      </w:r>
    </w:p>
    <w:p w14:paraId="6026F649" w14:textId="306E9E27" w:rsidR="143E2C98" w:rsidRPr="00436D55" w:rsidRDefault="3C695F53" w:rsidP="727BFE15">
      <w:pPr>
        <w:rPr>
          <w:rFonts w:ascii="Palatino Linotype" w:eastAsia="Palatino Linotype" w:hAnsi="Palatino Linotype"/>
          <w:i/>
          <w:iCs/>
          <w:color w:val="141414"/>
        </w:rPr>
      </w:pPr>
      <w:r w:rsidRPr="727BFE15">
        <w:rPr>
          <w:rFonts w:ascii="Palatino Linotype" w:eastAsia="Palatino Linotype" w:hAnsi="Palatino Linotype"/>
          <w:i/>
          <w:iCs/>
          <w:color w:val="141414"/>
        </w:rPr>
        <w:t xml:space="preserve">This section provides a sample financial pro forma with supporting analysis, based on analysis of </w:t>
      </w:r>
      <w:r w:rsidR="34D0C061" w:rsidRPr="727BFE15">
        <w:rPr>
          <w:rFonts w:ascii="Palatino Linotype" w:eastAsia="Palatino Linotype" w:hAnsi="Palatino Linotype"/>
          <w:i/>
          <w:iCs/>
          <w:color w:val="141414"/>
        </w:rPr>
        <w:t>East Bay Community Energy (</w:t>
      </w:r>
      <w:r w:rsidRPr="727BFE15">
        <w:rPr>
          <w:rFonts w:ascii="Palatino Linotype" w:eastAsia="Palatino Linotype" w:hAnsi="Palatino Linotype"/>
          <w:i/>
          <w:iCs/>
          <w:color w:val="141414"/>
        </w:rPr>
        <w:t>EBCE</w:t>
      </w:r>
      <w:r w:rsidR="34D0C061" w:rsidRPr="727BFE15">
        <w:rPr>
          <w:rFonts w:ascii="Palatino Linotype" w:eastAsia="Palatino Linotype" w:hAnsi="Palatino Linotype"/>
          <w:i/>
          <w:iCs/>
          <w:color w:val="141414"/>
        </w:rPr>
        <w:t>)</w:t>
      </w:r>
      <w:r w:rsidRPr="727BFE15">
        <w:rPr>
          <w:rFonts w:ascii="Palatino Linotype" w:eastAsia="Palatino Linotype" w:hAnsi="Palatino Linotype"/>
          <w:i/>
          <w:iCs/>
          <w:color w:val="141414"/>
        </w:rPr>
        <w:t xml:space="preserve"> customer data. Program </w:t>
      </w:r>
      <w:r w:rsidR="34D0C061" w:rsidRPr="727BFE15">
        <w:rPr>
          <w:rFonts w:ascii="Palatino Linotype" w:eastAsia="Palatino Linotype" w:hAnsi="Palatino Linotype"/>
          <w:i/>
          <w:iCs/>
          <w:color w:val="141414"/>
        </w:rPr>
        <w:t>S</w:t>
      </w:r>
      <w:r w:rsidRPr="727BFE15">
        <w:rPr>
          <w:rFonts w:ascii="Palatino Linotype" w:eastAsia="Palatino Linotype" w:hAnsi="Palatino Linotype"/>
          <w:i/>
          <w:iCs/>
          <w:color w:val="141414"/>
        </w:rPr>
        <w:t xml:space="preserve">ponsors should customize </w:t>
      </w:r>
      <w:r w:rsidR="34D0C061" w:rsidRPr="727BFE15">
        <w:rPr>
          <w:rFonts w:ascii="Palatino Linotype" w:eastAsia="Palatino Linotype" w:hAnsi="Palatino Linotype"/>
          <w:i/>
          <w:iCs/>
          <w:color w:val="141414"/>
        </w:rPr>
        <w:t xml:space="preserve">this section </w:t>
      </w:r>
      <w:r w:rsidRPr="727BFE15">
        <w:rPr>
          <w:rFonts w:ascii="Palatino Linotype" w:eastAsia="Palatino Linotype" w:hAnsi="Palatino Linotype"/>
          <w:i/>
          <w:iCs/>
          <w:color w:val="141414"/>
        </w:rPr>
        <w:t>to align with their own financial targets and</w:t>
      </w:r>
      <w:r w:rsidR="50D518FF" w:rsidRPr="727BFE15">
        <w:rPr>
          <w:rFonts w:ascii="Palatino Linotype" w:eastAsia="Palatino Linotype" w:hAnsi="Palatino Linotype"/>
          <w:i/>
          <w:iCs/>
          <w:color w:val="141414"/>
        </w:rPr>
        <w:t xml:space="preserve"> customer analysis.</w:t>
      </w:r>
    </w:p>
    <w:p w14:paraId="357D9F71" w14:textId="5E6B345D" w:rsidR="00B06947" w:rsidRDefault="7FEE3F95" w:rsidP="00B06947">
      <w:pPr>
        <w:rPr>
          <w:rFonts w:ascii="Palatino Linotype" w:eastAsia="Palatino Linotype" w:hAnsi="Palatino Linotype" w:cs="Palatino Linotype"/>
          <w:color w:val="141414"/>
        </w:rPr>
      </w:pPr>
      <w:r w:rsidRPr="12B7F10A">
        <w:rPr>
          <w:rFonts w:ascii="Palatino Linotype" w:eastAsia="Palatino Linotype" w:hAnsi="Palatino Linotype" w:cs="Palatino Linotype"/>
          <w:color w:val="141414"/>
        </w:rPr>
        <w:t xml:space="preserve">The </w:t>
      </w:r>
      <w:r w:rsidR="19D9C376">
        <w:rPr>
          <w:rFonts w:ascii="Palatino Linotype" w:eastAsia="Palatino Linotype" w:hAnsi="Palatino Linotype" w:cs="Palatino Linotype"/>
          <w:color w:val="141414"/>
        </w:rPr>
        <w:t>Program</w:t>
      </w:r>
      <w:r w:rsidRPr="12B7F10A">
        <w:rPr>
          <w:rFonts w:ascii="Palatino Linotype" w:eastAsia="Palatino Linotype" w:hAnsi="Palatino Linotype" w:cs="Palatino Linotype"/>
          <w:color w:val="141414"/>
        </w:rPr>
        <w:t xml:space="preserve"> seeks to mobilize at least </w:t>
      </w:r>
      <w:r w:rsidR="34D0C061">
        <w:rPr>
          <w:rFonts w:ascii="Palatino Linotype" w:eastAsia="Palatino Linotype" w:hAnsi="Palatino Linotype" w:cs="Palatino Linotype"/>
          <w:color w:val="141414"/>
        </w:rPr>
        <w:t>[</w:t>
      </w:r>
      <w:r w:rsidRPr="007D7A71">
        <w:rPr>
          <w:rFonts w:ascii="Palatino Linotype" w:eastAsia="Palatino Linotype" w:hAnsi="Palatino Linotype" w:cs="Palatino Linotype"/>
          <w:color w:val="141414"/>
        </w:rPr>
        <w:t>$</w:t>
      </w:r>
      <w:r w:rsidR="34D0C061">
        <w:rPr>
          <w:rFonts w:ascii="Palatino Linotype" w:eastAsia="Palatino Linotype" w:hAnsi="Palatino Linotype" w:cs="Palatino Linotype"/>
          <w:color w:val="141414"/>
        </w:rPr>
        <w:t>XX</w:t>
      </w:r>
      <w:r w:rsidRPr="007D7A71">
        <w:rPr>
          <w:rFonts w:ascii="Palatino Linotype" w:eastAsia="Palatino Linotype" w:hAnsi="Palatino Linotype" w:cs="Palatino Linotype"/>
          <w:color w:val="141414"/>
        </w:rPr>
        <w:t xml:space="preserve"> million</w:t>
      </w:r>
      <w:r w:rsidR="34D0C061">
        <w:rPr>
          <w:rFonts w:ascii="Palatino Linotype" w:eastAsia="Palatino Linotype" w:hAnsi="Palatino Linotype" w:cs="Palatino Linotype"/>
          <w:color w:val="141414"/>
        </w:rPr>
        <w:t>]</w:t>
      </w:r>
      <w:r w:rsidRPr="12B7F10A">
        <w:rPr>
          <w:rFonts w:ascii="Palatino Linotype" w:eastAsia="Palatino Linotype" w:hAnsi="Palatino Linotype" w:cs="Palatino Linotype"/>
          <w:color w:val="141414"/>
        </w:rPr>
        <w:t xml:space="preserve"> in direct investments over </w:t>
      </w:r>
      <w:r w:rsidR="34D0C061">
        <w:rPr>
          <w:rFonts w:ascii="Palatino Linotype" w:eastAsia="Palatino Linotype" w:hAnsi="Palatino Linotype" w:cs="Palatino Linotype"/>
          <w:color w:val="141414"/>
        </w:rPr>
        <w:t xml:space="preserve">[number] </w:t>
      </w:r>
      <w:r w:rsidRPr="12B7F10A">
        <w:rPr>
          <w:rFonts w:ascii="Palatino Linotype" w:eastAsia="Palatino Linotype" w:hAnsi="Palatino Linotype" w:cs="Palatino Linotype"/>
          <w:color w:val="141414"/>
        </w:rPr>
        <w:t>years in behind-the-meter clean</w:t>
      </w:r>
      <w:r w:rsidR="34D0C061">
        <w:rPr>
          <w:rFonts w:ascii="Palatino Linotype" w:eastAsia="Palatino Linotype" w:hAnsi="Palatino Linotype" w:cs="Palatino Linotype"/>
          <w:color w:val="141414"/>
        </w:rPr>
        <w:t>-</w:t>
      </w:r>
      <w:r w:rsidRPr="12B7F10A">
        <w:rPr>
          <w:rFonts w:ascii="Palatino Linotype" w:eastAsia="Palatino Linotype" w:hAnsi="Palatino Linotype" w:cs="Palatino Linotype"/>
          <w:color w:val="141414"/>
        </w:rPr>
        <w:t>energy technologies</w:t>
      </w:r>
      <w:r w:rsidR="34D0C061">
        <w:rPr>
          <w:rFonts w:ascii="Palatino Linotype" w:eastAsia="Palatino Linotype" w:hAnsi="Palatino Linotype" w:cs="Palatino Linotype"/>
          <w:color w:val="141414"/>
        </w:rPr>
        <w:t xml:space="preserve"> that can </w:t>
      </w:r>
      <w:r w:rsidRPr="12B7F10A">
        <w:rPr>
          <w:rFonts w:ascii="Palatino Linotype" w:eastAsia="Palatino Linotype" w:hAnsi="Palatino Linotype" w:cs="Palatino Linotype"/>
          <w:color w:val="141414"/>
        </w:rPr>
        <w:t xml:space="preserve">abate GHG emissions in existing </w:t>
      </w:r>
      <w:r w:rsidR="34D0C061">
        <w:rPr>
          <w:rFonts w:ascii="Palatino Linotype" w:eastAsia="Palatino Linotype" w:hAnsi="Palatino Linotype" w:cs="Palatino Linotype"/>
          <w:color w:val="141414"/>
        </w:rPr>
        <w:t xml:space="preserve">[type of building: </w:t>
      </w:r>
      <w:r w:rsidRPr="007D7A71">
        <w:rPr>
          <w:rFonts w:ascii="Palatino Linotype" w:eastAsia="Palatino Linotype" w:hAnsi="Palatino Linotype" w:cs="Palatino Linotype"/>
          <w:color w:val="141414"/>
        </w:rPr>
        <w:t>single</w:t>
      </w:r>
      <w:r w:rsidR="34D0C061">
        <w:rPr>
          <w:rFonts w:ascii="Palatino Linotype" w:eastAsia="Palatino Linotype" w:hAnsi="Palatino Linotype" w:cs="Palatino Linotype"/>
          <w:color w:val="141414"/>
        </w:rPr>
        <w:t>-</w:t>
      </w:r>
      <w:r w:rsidRPr="007D7A71">
        <w:rPr>
          <w:rFonts w:ascii="Palatino Linotype" w:eastAsia="Palatino Linotype" w:hAnsi="Palatino Linotype" w:cs="Palatino Linotype"/>
          <w:color w:val="141414"/>
        </w:rPr>
        <w:t>family</w:t>
      </w:r>
      <w:r w:rsidR="34D0C061">
        <w:rPr>
          <w:rFonts w:ascii="Palatino Linotype" w:eastAsia="Palatino Linotype" w:hAnsi="Palatino Linotype" w:cs="Palatino Linotype"/>
          <w:color w:val="141414"/>
        </w:rPr>
        <w:t xml:space="preserve">, </w:t>
      </w:r>
      <w:r w:rsidR="0111EEDF" w:rsidRPr="007D7A71">
        <w:rPr>
          <w:rFonts w:ascii="Palatino Linotype" w:eastAsia="Palatino Linotype" w:hAnsi="Palatino Linotype" w:cs="Palatino Linotype"/>
          <w:color w:val="141414"/>
        </w:rPr>
        <w:t>multifamily</w:t>
      </w:r>
      <w:r w:rsidRPr="007D7A71">
        <w:rPr>
          <w:rFonts w:ascii="Palatino Linotype" w:eastAsia="Palatino Linotype" w:hAnsi="Palatino Linotype" w:cs="Palatino Linotype"/>
          <w:color w:val="141414"/>
        </w:rPr>
        <w:t xml:space="preserve"> homes</w:t>
      </w:r>
      <w:r w:rsidR="34D0C061">
        <w:rPr>
          <w:rFonts w:ascii="Palatino Linotype" w:eastAsia="Palatino Linotype" w:hAnsi="Palatino Linotype" w:cs="Palatino Linotype"/>
          <w:color w:val="141414"/>
        </w:rPr>
        <w:t>]</w:t>
      </w:r>
      <w:r w:rsidRPr="12B7F10A">
        <w:rPr>
          <w:rFonts w:ascii="Palatino Linotype" w:eastAsia="Palatino Linotype" w:hAnsi="Palatino Linotype" w:cs="Palatino Linotype"/>
          <w:color w:val="141414"/>
        </w:rPr>
        <w:t xml:space="preserve">. Of that total, the </w:t>
      </w:r>
      <w:r w:rsidR="19D9C376">
        <w:rPr>
          <w:rFonts w:ascii="Palatino Linotype" w:eastAsia="Palatino Linotype" w:hAnsi="Palatino Linotype" w:cs="Palatino Linotype"/>
          <w:color w:val="141414"/>
        </w:rPr>
        <w:t>Program</w:t>
      </w:r>
      <w:r w:rsidRPr="12B7F10A">
        <w:rPr>
          <w:rFonts w:ascii="Palatino Linotype" w:eastAsia="Palatino Linotype" w:hAnsi="Palatino Linotype" w:cs="Palatino Linotype"/>
          <w:color w:val="141414"/>
        </w:rPr>
        <w:t xml:space="preserve"> will contribute at least </w:t>
      </w:r>
      <w:r w:rsidR="34D0C061">
        <w:rPr>
          <w:rFonts w:ascii="Palatino Linotype" w:eastAsia="Palatino Linotype" w:hAnsi="Palatino Linotype" w:cs="Palatino Linotype"/>
          <w:color w:val="141414"/>
        </w:rPr>
        <w:t>[</w:t>
      </w:r>
      <w:r w:rsidRPr="007D7A71">
        <w:rPr>
          <w:rFonts w:ascii="Palatino Linotype" w:eastAsia="Palatino Linotype" w:hAnsi="Palatino Linotype" w:cs="Palatino Linotype"/>
          <w:color w:val="141414"/>
        </w:rPr>
        <w:t>$</w:t>
      </w:r>
      <w:r w:rsidR="34D0C061">
        <w:rPr>
          <w:rFonts w:ascii="Palatino Linotype" w:eastAsia="Palatino Linotype" w:hAnsi="Palatino Linotype" w:cs="Palatino Linotype"/>
          <w:color w:val="141414"/>
        </w:rPr>
        <w:t>XX</w:t>
      </w:r>
      <w:r w:rsidRPr="007D7A71">
        <w:rPr>
          <w:rFonts w:ascii="Palatino Linotype" w:eastAsia="Palatino Linotype" w:hAnsi="Palatino Linotype" w:cs="Palatino Linotype"/>
          <w:color w:val="141414"/>
        </w:rPr>
        <w:t xml:space="preserve"> million</w:t>
      </w:r>
      <w:r w:rsidR="34D0C061">
        <w:rPr>
          <w:rFonts w:ascii="Palatino Linotype" w:eastAsia="Palatino Linotype" w:hAnsi="Palatino Linotype" w:cs="Palatino Linotype"/>
          <w:color w:val="141414"/>
        </w:rPr>
        <w:t>, or X</w:t>
      </w:r>
      <w:r w:rsidRPr="007D7A71">
        <w:rPr>
          <w:rFonts w:ascii="Palatino Linotype" w:eastAsia="Palatino Linotype" w:hAnsi="Palatino Linotype" w:cs="Palatino Linotype"/>
          <w:color w:val="141414"/>
        </w:rPr>
        <w:t xml:space="preserve"> percent</w:t>
      </w:r>
      <w:r w:rsidR="34D0C061">
        <w:rPr>
          <w:rFonts w:ascii="Palatino Linotype" w:eastAsia="Palatino Linotype" w:hAnsi="Palatino Linotype" w:cs="Palatino Linotype"/>
          <w:color w:val="141414"/>
        </w:rPr>
        <w:t>]</w:t>
      </w:r>
      <w:r w:rsidRPr="12B7F10A">
        <w:rPr>
          <w:rFonts w:ascii="Palatino Linotype" w:eastAsia="Palatino Linotype" w:hAnsi="Palatino Linotype" w:cs="Palatino Linotype"/>
          <w:color w:val="141414"/>
        </w:rPr>
        <w:t xml:space="preserve"> in capital</w:t>
      </w:r>
      <w:r w:rsidR="34D0C061">
        <w:rPr>
          <w:rFonts w:ascii="Palatino Linotype" w:eastAsia="Palatino Linotype" w:hAnsi="Palatino Linotype" w:cs="Palatino Linotype"/>
          <w:color w:val="141414"/>
        </w:rPr>
        <w:t xml:space="preserve">. The </w:t>
      </w:r>
      <w:r w:rsidRPr="12B7F10A">
        <w:rPr>
          <w:rFonts w:ascii="Palatino Linotype" w:eastAsia="Palatino Linotype" w:hAnsi="Palatino Linotype" w:cs="Palatino Linotype"/>
          <w:color w:val="141414"/>
        </w:rPr>
        <w:t xml:space="preserve">balance </w:t>
      </w:r>
      <w:r w:rsidR="34D0C061">
        <w:rPr>
          <w:rFonts w:ascii="Palatino Linotype" w:eastAsia="Palatino Linotype" w:hAnsi="Palatino Linotype" w:cs="Palatino Linotype"/>
          <w:color w:val="141414"/>
        </w:rPr>
        <w:t xml:space="preserve">will come </w:t>
      </w:r>
      <w:r w:rsidRPr="12B7F10A">
        <w:rPr>
          <w:rFonts w:ascii="Palatino Linotype" w:eastAsia="Palatino Linotype" w:hAnsi="Palatino Linotype" w:cs="Palatino Linotype"/>
          <w:color w:val="141414"/>
        </w:rPr>
        <w:t>from previously budgeted incentive pools from TECH and other programs, plus customer co-payments</w:t>
      </w:r>
      <w:r w:rsidR="1424BEE6">
        <w:rPr>
          <w:rFonts w:ascii="Palatino Linotype" w:eastAsia="Palatino Linotype" w:hAnsi="Palatino Linotype" w:cs="Palatino Linotype"/>
          <w:color w:val="141414"/>
        </w:rPr>
        <w:t>, if necessary</w:t>
      </w:r>
      <w:r w:rsidRPr="12B7F10A">
        <w:rPr>
          <w:rFonts w:ascii="Palatino Linotype" w:eastAsia="Palatino Linotype" w:hAnsi="Palatino Linotype" w:cs="Palatino Linotype"/>
          <w:color w:val="141414"/>
        </w:rPr>
        <w:t xml:space="preserve">. </w:t>
      </w:r>
      <w:r w:rsidR="4FAA31EA">
        <w:rPr>
          <w:rFonts w:ascii="Palatino Linotype" w:eastAsia="Palatino Linotype" w:hAnsi="Palatino Linotype" w:cs="Palatino Linotype"/>
          <w:color w:val="141414"/>
        </w:rPr>
        <w:t xml:space="preserve">The TOB investment is a shared savings model in which no more than </w:t>
      </w:r>
      <w:r w:rsidR="34D0C061">
        <w:rPr>
          <w:rFonts w:ascii="Palatino Linotype" w:eastAsia="Palatino Linotype" w:hAnsi="Palatino Linotype" w:cs="Palatino Linotype"/>
          <w:color w:val="141414"/>
        </w:rPr>
        <w:t>[X</w:t>
      </w:r>
      <w:r w:rsidR="4FAA31EA" w:rsidRPr="007D7A71">
        <w:rPr>
          <w:rFonts w:ascii="Palatino Linotype" w:eastAsia="Palatino Linotype" w:hAnsi="Palatino Linotype" w:cs="Palatino Linotype"/>
          <w:color w:val="141414"/>
        </w:rPr>
        <w:t xml:space="preserve"> percent</w:t>
      </w:r>
      <w:r w:rsidR="34D0C061">
        <w:rPr>
          <w:rFonts w:ascii="Palatino Linotype" w:eastAsia="Palatino Linotype" w:hAnsi="Palatino Linotype" w:cs="Palatino Linotype"/>
          <w:color w:val="141414"/>
        </w:rPr>
        <w:t>]</w:t>
      </w:r>
      <w:r w:rsidR="4FAA31EA">
        <w:rPr>
          <w:rFonts w:ascii="Palatino Linotype" w:eastAsia="Palatino Linotype" w:hAnsi="Palatino Linotype" w:cs="Palatino Linotype"/>
          <w:color w:val="141414"/>
        </w:rPr>
        <w:t xml:space="preserve"> of the customer’s expected lifecycle bill savings </w:t>
      </w:r>
      <w:r w:rsidR="34D0C061">
        <w:rPr>
          <w:rFonts w:ascii="Palatino Linotype" w:eastAsia="Palatino Linotype" w:hAnsi="Palatino Linotype" w:cs="Palatino Linotype"/>
          <w:color w:val="141414"/>
        </w:rPr>
        <w:t xml:space="preserve">will be </w:t>
      </w:r>
      <w:r w:rsidR="4FAA31EA">
        <w:rPr>
          <w:rFonts w:ascii="Palatino Linotype" w:eastAsia="Palatino Linotype" w:hAnsi="Palatino Linotype" w:cs="Palatino Linotype"/>
          <w:color w:val="141414"/>
        </w:rPr>
        <w:t>allocated to</w:t>
      </w:r>
      <w:r w:rsidR="3C3BC193">
        <w:rPr>
          <w:rFonts w:ascii="Palatino Linotype" w:eastAsia="Palatino Linotype" w:hAnsi="Palatino Linotype" w:cs="Palatino Linotype"/>
          <w:color w:val="141414"/>
        </w:rPr>
        <w:t xml:space="preserve"> investment cost recovery</w:t>
      </w:r>
      <w:r w:rsidR="34D0C061">
        <w:rPr>
          <w:rFonts w:ascii="Palatino Linotype" w:eastAsia="Palatino Linotype" w:hAnsi="Palatino Linotype" w:cs="Palatino Linotype"/>
          <w:color w:val="141414"/>
        </w:rPr>
        <w:t xml:space="preserve">. This shared savings model assumes the </w:t>
      </w:r>
      <w:r w:rsidR="7357DC98">
        <w:rPr>
          <w:rFonts w:ascii="Palatino Linotype" w:eastAsia="Palatino Linotype" w:hAnsi="Palatino Linotype" w:cs="Palatino Linotype"/>
          <w:color w:val="141414"/>
        </w:rPr>
        <w:t xml:space="preserve">customer </w:t>
      </w:r>
      <w:r w:rsidR="34D0C061" w:rsidRPr="727BFE15">
        <w:rPr>
          <w:rFonts w:ascii="Palatino Linotype" w:eastAsia="Palatino Linotype" w:hAnsi="Palatino Linotype" w:cs="Palatino Linotype"/>
          <w:color w:val="141414"/>
        </w:rPr>
        <w:t>retains</w:t>
      </w:r>
      <w:r w:rsidR="34D0C061">
        <w:rPr>
          <w:rFonts w:ascii="Palatino Linotype" w:eastAsia="Palatino Linotype" w:hAnsi="Palatino Linotype" w:cs="Palatino Linotype"/>
          <w:color w:val="141414"/>
        </w:rPr>
        <w:t xml:space="preserve"> </w:t>
      </w:r>
      <w:r w:rsidR="7357DC98">
        <w:rPr>
          <w:rFonts w:ascii="Palatino Linotype" w:eastAsia="Palatino Linotype" w:hAnsi="Palatino Linotype" w:cs="Palatino Linotype"/>
          <w:color w:val="141414"/>
        </w:rPr>
        <w:t xml:space="preserve">the remaining </w:t>
      </w:r>
      <w:r w:rsidR="34D0C061">
        <w:rPr>
          <w:rFonts w:ascii="Palatino Linotype" w:eastAsia="Palatino Linotype" w:hAnsi="Palatino Linotype" w:cs="Palatino Linotype"/>
          <w:color w:val="141414"/>
        </w:rPr>
        <w:t xml:space="preserve">[X </w:t>
      </w:r>
      <w:r w:rsidR="7357DC98" w:rsidRPr="007D7A71">
        <w:rPr>
          <w:rFonts w:ascii="Palatino Linotype" w:eastAsia="Palatino Linotype" w:hAnsi="Palatino Linotype" w:cs="Palatino Linotype"/>
          <w:color w:val="141414"/>
        </w:rPr>
        <w:t>percent</w:t>
      </w:r>
      <w:r w:rsidR="34D0C061">
        <w:rPr>
          <w:rFonts w:ascii="Palatino Linotype" w:eastAsia="Palatino Linotype" w:hAnsi="Palatino Linotype" w:cs="Palatino Linotype"/>
          <w:color w:val="141414"/>
        </w:rPr>
        <w:t>]</w:t>
      </w:r>
      <w:r w:rsidR="7357DC98" w:rsidRPr="007D7A71">
        <w:rPr>
          <w:rFonts w:ascii="Palatino Linotype" w:eastAsia="Palatino Linotype" w:hAnsi="Palatino Linotype" w:cs="Palatino Linotype"/>
          <w:color w:val="141414"/>
        </w:rPr>
        <w:t>.</w:t>
      </w:r>
      <w:r w:rsidR="7357DC98">
        <w:rPr>
          <w:rFonts w:ascii="Palatino Linotype" w:eastAsia="Palatino Linotype" w:hAnsi="Palatino Linotype" w:cs="Palatino Linotype"/>
          <w:color w:val="141414"/>
        </w:rPr>
        <w:t xml:space="preserve"> T</w:t>
      </w:r>
      <w:r w:rsidRPr="12B7F10A">
        <w:rPr>
          <w:rFonts w:ascii="Palatino Linotype" w:eastAsia="Palatino Linotype" w:hAnsi="Palatino Linotype" w:cs="Palatino Linotype"/>
          <w:color w:val="141414"/>
        </w:rPr>
        <w:t>he above financial goals</w:t>
      </w:r>
      <w:r w:rsidR="7357DC98">
        <w:rPr>
          <w:rFonts w:ascii="Palatino Linotype" w:eastAsia="Palatino Linotype" w:hAnsi="Palatino Linotype" w:cs="Palatino Linotype"/>
          <w:color w:val="141414"/>
        </w:rPr>
        <w:t xml:space="preserve"> thus</w:t>
      </w:r>
      <w:r w:rsidRPr="12B7F10A">
        <w:rPr>
          <w:rFonts w:ascii="Palatino Linotype" w:eastAsia="Palatino Linotype" w:hAnsi="Palatino Linotype" w:cs="Palatino Linotype"/>
          <w:color w:val="141414"/>
        </w:rPr>
        <w:t xml:space="preserve"> translate into aggregate lifecycle bill savings</w:t>
      </w:r>
      <w:r w:rsidR="34D0C061">
        <w:rPr>
          <w:rFonts w:ascii="Palatino Linotype" w:eastAsia="Palatino Linotype" w:hAnsi="Palatino Linotype" w:cs="Palatino Linotype"/>
          <w:color w:val="141414"/>
        </w:rPr>
        <w:t>,</w:t>
      </w:r>
      <w:r w:rsidRPr="12B7F10A">
        <w:rPr>
          <w:rFonts w:ascii="Palatino Linotype" w:eastAsia="Palatino Linotype" w:hAnsi="Palatino Linotype" w:cs="Palatino Linotype"/>
          <w:color w:val="141414"/>
        </w:rPr>
        <w:t xml:space="preserve"> net of program service charges</w:t>
      </w:r>
      <w:r w:rsidR="34D0C061">
        <w:rPr>
          <w:rFonts w:ascii="Palatino Linotype" w:eastAsia="Palatino Linotype" w:hAnsi="Palatino Linotype" w:cs="Palatino Linotype"/>
          <w:color w:val="141414"/>
        </w:rPr>
        <w:t>,</w:t>
      </w:r>
      <w:r w:rsidRPr="12B7F10A">
        <w:rPr>
          <w:rFonts w:ascii="Palatino Linotype" w:eastAsia="Palatino Linotype" w:hAnsi="Palatino Linotype" w:cs="Palatino Linotype"/>
          <w:color w:val="141414"/>
        </w:rPr>
        <w:t xml:space="preserve"> of at least </w:t>
      </w:r>
      <w:r w:rsidR="34D0C061">
        <w:rPr>
          <w:rFonts w:ascii="Palatino Linotype" w:eastAsia="Palatino Linotype" w:hAnsi="Palatino Linotype" w:cs="Palatino Linotype"/>
          <w:color w:val="141414"/>
        </w:rPr>
        <w:t>[</w:t>
      </w:r>
      <w:r w:rsidRPr="007D7A71">
        <w:rPr>
          <w:rFonts w:ascii="Palatino Linotype" w:eastAsia="Palatino Linotype" w:hAnsi="Palatino Linotype" w:cs="Palatino Linotype"/>
          <w:color w:val="141414"/>
        </w:rPr>
        <w:t>$</w:t>
      </w:r>
      <w:r w:rsidR="34D0C061">
        <w:rPr>
          <w:rFonts w:ascii="Palatino Linotype" w:eastAsia="Palatino Linotype" w:hAnsi="Palatino Linotype" w:cs="Palatino Linotype"/>
          <w:color w:val="141414"/>
        </w:rPr>
        <w:t>XX</w:t>
      </w:r>
      <w:r w:rsidRPr="007D7A71">
        <w:rPr>
          <w:rFonts w:ascii="Palatino Linotype" w:eastAsia="Palatino Linotype" w:hAnsi="Palatino Linotype" w:cs="Palatino Linotype"/>
          <w:color w:val="141414"/>
        </w:rPr>
        <w:t xml:space="preserve"> million</w:t>
      </w:r>
      <w:r w:rsidR="34D0C061">
        <w:rPr>
          <w:rFonts w:ascii="Palatino Linotype" w:eastAsia="Palatino Linotype" w:hAnsi="Palatino Linotype" w:cs="Palatino Linotype"/>
          <w:color w:val="141414"/>
        </w:rPr>
        <w:t>]</w:t>
      </w:r>
      <w:r w:rsidRPr="007D7A71">
        <w:rPr>
          <w:rFonts w:ascii="Palatino Linotype" w:eastAsia="Palatino Linotype" w:hAnsi="Palatino Linotype" w:cs="Palatino Linotype"/>
          <w:color w:val="141414"/>
        </w:rPr>
        <w:t>.</w:t>
      </w:r>
      <w:r w:rsidR="00974430">
        <w:rPr>
          <w:rStyle w:val="FootnoteReference"/>
          <w:rFonts w:ascii="Palatino Linotype" w:eastAsia="Palatino Linotype" w:hAnsi="Palatino Linotype" w:cs="Palatino Linotype"/>
          <w:color w:val="141414"/>
        </w:rPr>
        <w:footnoteReference w:id="15"/>
      </w:r>
    </w:p>
    <w:p w14:paraId="31019323" w14:textId="59E547A0" w:rsidR="4C18BD8E" w:rsidRPr="00EA6B1F" w:rsidRDefault="05D0A3D8">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The following </w:t>
      </w:r>
      <w:r w:rsidR="1EF3633F" w:rsidRPr="727BFE15">
        <w:rPr>
          <w:rFonts w:ascii="Palatino Linotype" w:eastAsia="Palatino Linotype" w:hAnsi="Palatino Linotype" w:cs="Palatino Linotype"/>
          <w:color w:val="141414"/>
        </w:rPr>
        <w:t>method and analysis are b</w:t>
      </w:r>
      <w:r w:rsidRPr="727BFE15">
        <w:rPr>
          <w:rFonts w:ascii="Palatino Linotype" w:eastAsia="Palatino Linotype" w:hAnsi="Palatino Linotype" w:cs="Palatino Linotype"/>
          <w:color w:val="141414"/>
        </w:rPr>
        <w:t xml:space="preserve">ased on a hypothetical scenario of 1,000 retrofits involving replacement of furnaces, air conditioners, and water heaters with heat pumps and heat pump water heaters, plus energy efficiency improvements to reduce HVAC loads by 30 percent. In practice, the </w:t>
      </w:r>
      <w:r w:rsidR="1EF3633F" w:rsidRPr="727BFE15">
        <w:rPr>
          <w:rFonts w:ascii="Palatino Linotype" w:eastAsia="Palatino Linotype" w:hAnsi="Palatino Linotype" w:cs="Palatino Linotype"/>
          <w:color w:val="141414"/>
        </w:rPr>
        <w:t>P</w:t>
      </w:r>
      <w:r w:rsidRPr="727BFE15">
        <w:rPr>
          <w:rFonts w:ascii="Palatino Linotype" w:eastAsia="Palatino Linotype" w:hAnsi="Palatino Linotype" w:cs="Palatino Linotype"/>
          <w:color w:val="141414"/>
        </w:rPr>
        <w:t xml:space="preserve">rogram expects to </w:t>
      </w:r>
      <w:r w:rsidR="1EB8E4BB" w:rsidRPr="727BFE15">
        <w:rPr>
          <w:rFonts w:ascii="Palatino Linotype" w:eastAsia="Palatino Linotype" w:hAnsi="Palatino Linotype" w:cs="Palatino Linotype"/>
          <w:color w:val="141414"/>
        </w:rPr>
        <w:t xml:space="preserve">undertake </w:t>
      </w:r>
      <w:r w:rsidRPr="727BFE15">
        <w:rPr>
          <w:rFonts w:ascii="Palatino Linotype" w:eastAsia="Palatino Linotype" w:hAnsi="Palatino Linotype" w:cs="Palatino Linotype"/>
          <w:color w:val="141414"/>
        </w:rPr>
        <w:t>projects with varying scopes of work, investment requirements, and project benefits.</w:t>
      </w:r>
      <w:r w:rsidR="1EB8E4BB" w:rsidRPr="727BFE15">
        <w:rPr>
          <w:rFonts w:ascii="Palatino Linotype" w:eastAsia="Palatino Linotype" w:hAnsi="Palatino Linotype" w:cs="Palatino Linotype"/>
          <w:color w:val="141414"/>
        </w:rPr>
        <w:t xml:space="preserve"> </w:t>
      </w:r>
      <w:r w:rsidR="1EB8E4BB" w:rsidRPr="727BFE15">
        <w:rPr>
          <w:rFonts w:ascii="Palatino Linotype" w:eastAsia="Palatino Linotype" w:hAnsi="Palatino Linotype" w:cs="Palatino Linotype"/>
          <w:b/>
          <w:bCs/>
          <w:color w:val="141414"/>
        </w:rPr>
        <w:t xml:space="preserve">Table 1 </w:t>
      </w:r>
      <w:r w:rsidR="1EB8E4BB" w:rsidRPr="727BFE15">
        <w:rPr>
          <w:rFonts w:ascii="Palatino Linotype" w:eastAsia="Palatino Linotype" w:hAnsi="Palatino Linotype" w:cs="Palatino Linotype"/>
          <w:color w:val="141414"/>
        </w:rPr>
        <w:t>provides the capital stack for deriving the total project investment.</w:t>
      </w:r>
    </w:p>
    <w:p w14:paraId="7983CF5F" w14:textId="70955CDC" w:rsidR="4C18BD8E" w:rsidRDefault="05D0A3D8" w:rsidP="727BFE15">
      <w:pPr>
        <w:pStyle w:val="TableTitle"/>
      </w:pPr>
      <w:r>
        <w:t xml:space="preserve">Table </w:t>
      </w:r>
      <w:r w:rsidR="4F00B079">
        <w:t>1</w:t>
      </w:r>
      <w:r>
        <w:t xml:space="preserve">. Program </w:t>
      </w:r>
      <w:r w:rsidR="1EB8E4BB">
        <w:t>c</w:t>
      </w:r>
      <w:r>
        <w:t xml:space="preserve">apital </w:t>
      </w:r>
      <w:r w:rsidR="1EB8E4BB">
        <w:t>s</w:t>
      </w:r>
      <w:r>
        <w:t>tack</w:t>
      </w:r>
    </w:p>
    <w:tbl>
      <w:tblPr>
        <w:tblStyle w:val="GridTable4-Accent1"/>
        <w:tblW w:w="0" w:type="auto"/>
        <w:tblLayout w:type="fixed"/>
        <w:tblLook w:val="0400" w:firstRow="0" w:lastRow="0" w:firstColumn="0" w:lastColumn="0" w:noHBand="0" w:noVBand="1"/>
      </w:tblPr>
      <w:tblGrid>
        <w:gridCol w:w="2600"/>
        <w:gridCol w:w="1710"/>
      </w:tblGrid>
      <w:tr w:rsidR="65132141" w14:paraId="29EF78AC" w14:textId="77777777" w:rsidTr="00646C7E">
        <w:trPr>
          <w:cnfStyle w:val="000000100000" w:firstRow="0" w:lastRow="0" w:firstColumn="0" w:lastColumn="0" w:oddVBand="0" w:evenVBand="0" w:oddHBand="1" w:evenHBand="0" w:firstRowFirstColumn="0" w:firstRowLastColumn="0" w:lastRowFirstColumn="0" w:lastRowLastColumn="0"/>
        </w:trPr>
        <w:tc>
          <w:tcPr>
            <w:tcW w:w="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shd w:val="clear" w:color="auto" w:fill="0AC3EF" w:themeFill="accent1"/>
          </w:tcPr>
          <w:p w14:paraId="0C4AC74F" w14:textId="5C7B35B4" w:rsidR="65132141" w:rsidRPr="0085166F" w:rsidRDefault="32999F46" w:rsidP="727BFE15">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Capital</w:t>
            </w:r>
            <w:r w:rsidR="11827145" w:rsidRPr="727BFE15">
              <w:rPr>
                <w:rFonts w:ascii="Palatino Linotype" w:eastAsia="Palatino Linotype" w:hAnsi="Palatino Linotype" w:cs="Palatino Linotype"/>
                <w:b/>
                <w:bCs/>
                <w:color w:val="141414"/>
              </w:rPr>
              <w:t xml:space="preserve"> </w:t>
            </w:r>
            <w:r w:rsidR="1EB8E4BB" w:rsidRPr="727BFE15">
              <w:rPr>
                <w:rFonts w:ascii="Palatino Linotype" w:eastAsia="Palatino Linotype" w:hAnsi="Palatino Linotype" w:cs="Palatino Linotype"/>
                <w:b/>
                <w:bCs/>
                <w:color w:val="141414"/>
              </w:rPr>
              <w:t>s</w:t>
            </w:r>
            <w:r w:rsidR="11827145" w:rsidRPr="727BFE15">
              <w:rPr>
                <w:rFonts w:ascii="Palatino Linotype" w:eastAsia="Palatino Linotype" w:hAnsi="Palatino Linotype" w:cs="Palatino Linotype"/>
                <w:b/>
                <w:bCs/>
                <w:color w:val="141414"/>
              </w:rPr>
              <w:t xml:space="preserve">ource </w:t>
            </w:r>
          </w:p>
        </w:tc>
        <w:tc>
          <w:tcPr>
            <w:tcW w:w="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shd w:val="clear" w:color="auto" w:fill="0AC3EF" w:themeFill="accent1"/>
          </w:tcPr>
          <w:p w14:paraId="76778129" w14:textId="56F004C9" w:rsidR="65132141" w:rsidRPr="0085166F" w:rsidRDefault="7637AFDA" w:rsidP="6EF3B91B">
            <w:pPr>
              <w:jc w:val="right"/>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Amount</w:t>
            </w:r>
          </w:p>
        </w:tc>
      </w:tr>
      <w:tr w:rsidR="6EF3B91B" w14:paraId="4413FA61" w14:textId="77777777" w:rsidTr="727BFE15">
        <w:tc>
          <w:tcPr>
            <w:tcW w:w="260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E1E820C" w14:textId="530ADBE7" w:rsidR="6EF3B91B" w:rsidRDefault="6EF3B91B" w:rsidP="6EF3B91B">
            <w:pPr>
              <w:rPr>
                <w:rFonts w:ascii="Palatino Linotype" w:eastAsia="Palatino Linotype" w:hAnsi="Palatino Linotype" w:cs="Palatino Linotype"/>
                <w:color w:val="141414"/>
              </w:rPr>
            </w:pPr>
            <w:r w:rsidRPr="6EF3B91B">
              <w:rPr>
                <w:rFonts w:ascii="Palatino Linotype" w:eastAsia="Palatino Linotype" w:hAnsi="Palatino Linotype" w:cs="Palatino Linotype"/>
                <w:color w:val="141414"/>
              </w:rPr>
              <w:t>Utility incentives</w:t>
            </w:r>
          </w:p>
        </w:tc>
        <w:tc>
          <w:tcPr>
            <w:tcW w:w="171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2995DF2" w14:textId="57487067" w:rsidR="6EF3B91B" w:rsidRDefault="6EF3B91B" w:rsidP="6EF3B91B">
            <w:pPr>
              <w:jc w:val="right"/>
              <w:rPr>
                <w:rFonts w:ascii="Palatino Linotype" w:eastAsia="Palatino Linotype" w:hAnsi="Palatino Linotype" w:cs="Palatino Linotype"/>
                <w:color w:val="141414"/>
                <w:highlight w:val="magenta"/>
              </w:rPr>
            </w:pPr>
          </w:p>
        </w:tc>
      </w:tr>
      <w:tr w:rsidR="00552DFE" w14:paraId="7D7ACD5F" w14:textId="77777777" w:rsidTr="727BFE15">
        <w:trPr>
          <w:cnfStyle w:val="000000100000" w:firstRow="0" w:lastRow="0" w:firstColumn="0" w:lastColumn="0" w:oddVBand="0" w:evenVBand="0" w:oddHBand="1" w:evenHBand="0" w:firstRowFirstColumn="0" w:firstRowLastColumn="0" w:lastRowFirstColumn="0" w:lastRowLastColumn="0"/>
        </w:trPr>
        <w:tc>
          <w:tcPr>
            <w:tcW w:w="260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6FDDCED" w14:textId="2295CA68" w:rsidR="00552DFE" w:rsidRDefault="00552DFE" w:rsidP="00552DF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TOB contribution</w:t>
            </w:r>
          </w:p>
        </w:tc>
        <w:tc>
          <w:tcPr>
            <w:tcW w:w="171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0A1463A" w14:textId="0834184D" w:rsidR="00552DFE" w:rsidRPr="00301946" w:rsidRDefault="00552DFE" w:rsidP="00552DFE">
            <w:pPr>
              <w:jc w:val="right"/>
              <w:rPr>
                <w:rFonts w:ascii="Palatino Linotype" w:eastAsia="Palatino Linotype" w:hAnsi="Palatino Linotype" w:cs="Palatino Linotype"/>
                <w:color w:val="141414"/>
                <w:highlight w:val="magenta"/>
              </w:rPr>
            </w:pPr>
          </w:p>
        </w:tc>
      </w:tr>
      <w:tr w:rsidR="6EF3B91B" w14:paraId="0819E911" w14:textId="77777777" w:rsidTr="727BFE15">
        <w:tc>
          <w:tcPr>
            <w:tcW w:w="260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8B07867" w14:textId="71050BB4" w:rsidR="6EF3B91B" w:rsidRDefault="6EF3B91B" w:rsidP="6EF3B91B">
            <w:pPr>
              <w:rPr>
                <w:rFonts w:ascii="Palatino Linotype" w:eastAsia="Palatino Linotype" w:hAnsi="Palatino Linotype" w:cs="Palatino Linotype"/>
                <w:color w:val="141414"/>
              </w:rPr>
            </w:pPr>
            <w:r w:rsidRPr="6EF3B91B">
              <w:rPr>
                <w:rFonts w:ascii="Palatino Linotype" w:eastAsia="Palatino Linotype" w:hAnsi="Palatino Linotype" w:cs="Palatino Linotype"/>
                <w:color w:val="141414"/>
              </w:rPr>
              <w:t>Other capital</w:t>
            </w:r>
          </w:p>
        </w:tc>
        <w:tc>
          <w:tcPr>
            <w:tcW w:w="171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E0BE4DD" w14:textId="3D6DF1B9" w:rsidR="6EF3B91B" w:rsidRDefault="6EF3B91B" w:rsidP="6EF3B91B">
            <w:pPr>
              <w:jc w:val="right"/>
              <w:rPr>
                <w:rFonts w:ascii="Palatino Linotype" w:eastAsia="Palatino Linotype" w:hAnsi="Palatino Linotype" w:cs="Palatino Linotype"/>
                <w:color w:val="141414"/>
                <w:highlight w:val="magenta"/>
              </w:rPr>
            </w:pPr>
          </w:p>
        </w:tc>
      </w:tr>
      <w:tr w:rsidR="00A77740" w14:paraId="5B59174B" w14:textId="77777777" w:rsidTr="727BFE15">
        <w:trPr>
          <w:cnfStyle w:val="000000100000" w:firstRow="0" w:lastRow="0" w:firstColumn="0" w:lastColumn="0" w:oddVBand="0" w:evenVBand="0" w:oddHBand="1" w:evenHBand="0" w:firstRowFirstColumn="0" w:firstRowLastColumn="0" w:lastRowFirstColumn="0" w:lastRowLastColumn="0"/>
        </w:trPr>
        <w:tc>
          <w:tcPr>
            <w:tcW w:w="260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549C6F22" w14:textId="79FD7FC6" w:rsidR="00A77740" w:rsidRPr="00301946" w:rsidRDefault="70327002" w:rsidP="00E62EBE">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Total </w:t>
            </w:r>
            <w:r w:rsidR="1EB8E4BB" w:rsidRPr="727BFE15">
              <w:rPr>
                <w:rFonts w:ascii="Palatino Linotype" w:eastAsia="Palatino Linotype" w:hAnsi="Palatino Linotype" w:cs="Palatino Linotype"/>
                <w:b/>
                <w:bCs/>
                <w:color w:val="141414"/>
              </w:rPr>
              <w:t>i</w:t>
            </w:r>
            <w:r w:rsidRPr="727BFE15">
              <w:rPr>
                <w:rFonts w:ascii="Palatino Linotype" w:eastAsia="Palatino Linotype" w:hAnsi="Palatino Linotype" w:cs="Palatino Linotype"/>
                <w:b/>
                <w:bCs/>
                <w:color w:val="141414"/>
              </w:rPr>
              <w:t>nvestment</w:t>
            </w:r>
          </w:p>
        </w:tc>
        <w:tc>
          <w:tcPr>
            <w:tcW w:w="171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0605993" w14:textId="519507A8" w:rsidR="00A77740" w:rsidRPr="00301946" w:rsidRDefault="00A77740" w:rsidP="00E62EBE">
            <w:pPr>
              <w:jc w:val="right"/>
              <w:rPr>
                <w:rFonts w:ascii="Palatino Linotype" w:eastAsia="Palatino Linotype" w:hAnsi="Palatino Linotype" w:cs="Palatino Linotype"/>
                <w:b/>
                <w:bCs/>
                <w:color w:val="141414"/>
                <w:highlight w:val="magenta"/>
              </w:rPr>
            </w:pPr>
          </w:p>
        </w:tc>
      </w:tr>
    </w:tbl>
    <w:p w14:paraId="4D2FF9F3" w14:textId="7EF81D13" w:rsidR="003928E2" w:rsidRDefault="003928E2" w:rsidP="727BFE15">
      <w:pPr>
        <w:rPr>
          <w:rFonts w:ascii="Palatino Linotype" w:eastAsia="Palatino Linotype" w:hAnsi="Palatino Linotype"/>
          <w:color w:val="141414"/>
        </w:rPr>
      </w:pPr>
    </w:p>
    <w:p w14:paraId="1819FC7D" w14:textId="3B576208" w:rsidR="00F8796E" w:rsidRPr="00F8796E" w:rsidRDefault="00F8796E" w:rsidP="00AF3A54">
      <w:pPr>
        <w:rPr>
          <w:rFonts w:ascii="Palatino Linotype" w:eastAsia="Palatino Linotype" w:hAnsi="Palatino Linotype" w:cs="Palatino Linotype"/>
          <w:i/>
          <w:iCs/>
          <w:color w:val="141414"/>
        </w:rPr>
      </w:pPr>
      <w:r w:rsidRPr="00F8796E">
        <w:rPr>
          <w:rFonts w:ascii="Palatino Linotype" w:eastAsia="Palatino Linotype" w:hAnsi="Palatino Linotype" w:cs="Palatino Linotype"/>
          <w:i/>
          <w:iCs/>
          <w:color w:val="141414"/>
        </w:rPr>
        <w:t>From TECH Clean California:</w:t>
      </w:r>
    </w:p>
    <w:p w14:paraId="2258B270" w14:textId="143AE7E0" w:rsidR="00F8796E" w:rsidRPr="00F8796E" w:rsidRDefault="00F8796E" w:rsidP="00AF3A54">
      <w:pPr>
        <w:rPr>
          <w:rFonts w:ascii="Palatino Linotype" w:eastAsia="Palatino Linotype" w:hAnsi="Palatino Linotype" w:cs="Palatino Linotype"/>
          <w:i/>
          <w:iCs/>
          <w:color w:val="141414"/>
        </w:rPr>
      </w:pPr>
      <w:r w:rsidRPr="00F8796E">
        <w:rPr>
          <w:rFonts w:ascii="Palatino Linotype" w:eastAsia="Palatino Linotype" w:hAnsi="Palatino Linotype" w:cs="Palatino Linotype"/>
          <w:i/>
          <w:iCs/>
          <w:color w:val="141414"/>
        </w:rPr>
        <w:t>Tailor list to utility bill impacts specific to measures that are included within the program’s scope</w:t>
      </w:r>
    </w:p>
    <w:p w14:paraId="607E0382" w14:textId="4D462C30" w:rsidR="00AF3A54" w:rsidRDefault="184005A2" w:rsidP="00AF3A54">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The expected lifecycle benefits associated with the programmatic investments are shown in </w:t>
      </w:r>
      <w:r w:rsidRPr="727BFE15">
        <w:rPr>
          <w:rFonts w:ascii="Palatino Linotype" w:eastAsia="Palatino Linotype" w:hAnsi="Palatino Linotype" w:cs="Palatino Linotype"/>
          <w:b/>
          <w:bCs/>
          <w:color w:val="141414"/>
        </w:rPr>
        <w:t>Table 2.</w:t>
      </w:r>
      <w:r w:rsidRPr="727BFE15">
        <w:rPr>
          <w:rFonts w:ascii="Palatino Linotype" w:eastAsia="Palatino Linotype" w:hAnsi="Palatino Linotype" w:cs="Palatino Linotype"/>
          <w:color w:val="141414"/>
        </w:rPr>
        <w:t xml:space="preserve"> Customer bill savings would derive from (a) reductions in gas consumption; (b) shifting cooling loads from peak periods to shoulder and off-peak hours; </w:t>
      </w:r>
      <w:r w:rsidR="22894494" w:rsidRPr="727BFE15">
        <w:rPr>
          <w:rFonts w:ascii="Palatino Linotype" w:eastAsia="Palatino Linotype" w:hAnsi="Palatino Linotype" w:cs="Palatino Linotype"/>
          <w:color w:val="141414"/>
        </w:rPr>
        <w:t>(</w:t>
      </w:r>
      <w:r w:rsidR="1D77B259" w:rsidRPr="727BFE15">
        <w:rPr>
          <w:rFonts w:ascii="Palatino Linotype" w:eastAsia="Palatino Linotype" w:hAnsi="Palatino Linotype" w:cs="Palatino Linotype"/>
          <w:color w:val="141414"/>
        </w:rPr>
        <w:t>c</w:t>
      </w:r>
      <w:r w:rsidR="22894494" w:rsidRPr="727BFE15">
        <w:rPr>
          <w:rFonts w:ascii="Palatino Linotype" w:eastAsia="Palatino Linotype" w:hAnsi="Palatino Linotype" w:cs="Palatino Linotype"/>
          <w:color w:val="141414"/>
        </w:rPr>
        <w:t>)</w:t>
      </w:r>
      <w:r w:rsidR="507A8A82" w:rsidRPr="727BFE15">
        <w:rPr>
          <w:rFonts w:ascii="Palatino Linotype" w:eastAsia="Palatino Linotype" w:hAnsi="Palatino Linotype" w:cs="Palatino Linotype"/>
          <w:color w:val="141414"/>
        </w:rPr>
        <w:t xml:space="preserve"> applying cost-effective energy efficiency measures; </w:t>
      </w:r>
      <w:r w:rsidR="1D77B259" w:rsidRPr="727BFE15">
        <w:rPr>
          <w:rFonts w:ascii="Palatino Linotype" w:eastAsia="Palatino Linotype" w:hAnsi="Palatino Linotype" w:cs="Palatino Linotype"/>
          <w:color w:val="141414"/>
        </w:rPr>
        <w:t xml:space="preserve">(d) installing rooftop solar and battery storage systems (if applicable); </w:t>
      </w:r>
      <w:r w:rsidRPr="727BFE15">
        <w:rPr>
          <w:rFonts w:ascii="Palatino Linotype" w:eastAsia="Palatino Linotype" w:hAnsi="Palatino Linotype" w:cs="Palatino Linotype"/>
          <w:color w:val="141414"/>
        </w:rPr>
        <w:t>and (</w:t>
      </w:r>
      <w:r w:rsidR="1D77B259" w:rsidRPr="727BFE15">
        <w:rPr>
          <w:rFonts w:ascii="Palatino Linotype" w:eastAsia="Palatino Linotype" w:hAnsi="Palatino Linotype" w:cs="Palatino Linotype"/>
          <w:color w:val="141414"/>
        </w:rPr>
        <w:t>e</w:t>
      </w:r>
      <w:r w:rsidRPr="727BFE15">
        <w:rPr>
          <w:rFonts w:ascii="Palatino Linotype" w:eastAsia="Palatino Linotype" w:hAnsi="Palatino Linotype" w:cs="Palatino Linotype"/>
          <w:color w:val="141414"/>
        </w:rPr>
        <w:t>) transitioning customers to electrification rates with lower off-peak charges. The increase in electricity consumption due to new winter heating loads would be partially offset by summer cooling savings from improved equipment efficienc</w:t>
      </w:r>
      <w:r w:rsidR="0912E897" w:rsidRPr="727BFE15">
        <w:rPr>
          <w:rFonts w:ascii="Palatino Linotype" w:eastAsia="Palatino Linotype" w:hAnsi="Palatino Linotype" w:cs="Palatino Linotype"/>
          <w:color w:val="141414"/>
        </w:rPr>
        <w:t>y</w:t>
      </w:r>
      <w:r w:rsidRPr="727BFE15">
        <w:rPr>
          <w:rFonts w:ascii="Palatino Linotype" w:eastAsia="Palatino Linotype" w:hAnsi="Palatino Linotype" w:cs="Palatino Linotype"/>
          <w:color w:val="141414"/>
        </w:rPr>
        <w:t xml:space="preserve">. Avoided </w:t>
      </w:r>
      <w:r w:rsidR="0912E897" w:rsidRPr="727BFE15">
        <w:rPr>
          <w:rFonts w:ascii="Palatino Linotype" w:eastAsia="Palatino Linotype" w:hAnsi="Palatino Linotype" w:cs="Palatino Linotype"/>
          <w:color w:val="141414"/>
        </w:rPr>
        <w:t xml:space="preserve">costs for </w:t>
      </w:r>
      <w:r w:rsidRPr="727BFE15">
        <w:rPr>
          <w:rFonts w:ascii="Palatino Linotype" w:eastAsia="Palatino Linotype" w:hAnsi="Palatino Linotype" w:cs="Palatino Linotype"/>
          <w:color w:val="141414"/>
        </w:rPr>
        <w:t>equipment replacement derive from the expectation that most upgrades would replace existing equipment that is approaching the end of its useful life.</w:t>
      </w:r>
    </w:p>
    <w:p w14:paraId="46F5316D" w14:textId="77777777" w:rsidR="003928E2" w:rsidRDefault="003928E2">
      <w:pPr>
        <w:rPr>
          <w:rFonts w:ascii="Palatino Linotype" w:eastAsia="Palatino Linotype" w:hAnsi="Palatino Linotype" w:cs="Palatino Linotype"/>
          <w:b/>
          <w:bCs/>
          <w:color w:val="141414"/>
        </w:rPr>
      </w:pPr>
    </w:p>
    <w:p w14:paraId="0E24F5F5" w14:textId="3D683396" w:rsidR="00687746" w:rsidRPr="00FC3763" w:rsidRDefault="78CCEA2B" w:rsidP="727BFE15">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Table 2. Expected </w:t>
      </w:r>
      <w:r w:rsidR="0912E897" w:rsidRPr="727BFE15">
        <w:rPr>
          <w:rFonts w:ascii="Palatino Linotype" w:eastAsia="Palatino Linotype" w:hAnsi="Palatino Linotype" w:cs="Palatino Linotype"/>
          <w:b/>
          <w:bCs/>
          <w:color w:val="141414"/>
        </w:rPr>
        <w:t>l</w:t>
      </w:r>
      <w:r w:rsidRPr="727BFE15">
        <w:rPr>
          <w:rFonts w:ascii="Palatino Linotype" w:eastAsia="Palatino Linotype" w:hAnsi="Palatino Linotype" w:cs="Palatino Linotype"/>
          <w:b/>
          <w:bCs/>
          <w:color w:val="141414"/>
        </w:rPr>
        <w:t xml:space="preserve">ifecycle </w:t>
      </w:r>
      <w:r w:rsidR="0912E897" w:rsidRPr="727BFE15">
        <w:rPr>
          <w:rFonts w:ascii="Palatino Linotype" w:eastAsia="Palatino Linotype" w:hAnsi="Palatino Linotype" w:cs="Palatino Linotype"/>
          <w:b/>
          <w:bCs/>
          <w:color w:val="141414"/>
        </w:rPr>
        <w:t>p</w:t>
      </w:r>
      <w:r w:rsidRPr="727BFE15">
        <w:rPr>
          <w:rFonts w:ascii="Palatino Linotype" w:eastAsia="Palatino Linotype" w:hAnsi="Palatino Linotype" w:cs="Palatino Linotype"/>
          <w:b/>
          <w:bCs/>
          <w:color w:val="141414"/>
        </w:rPr>
        <w:t xml:space="preserve">rogram </w:t>
      </w:r>
      <w:r w:rsidR="0912E897" w:rsidRPr="727BFE15">
        <w:rPr>
          <w:rFonts w:ascii="Palatino Linotype" w:eastAsia="Palatino Linotype" w:hAnsi="Palatino Linotype" w:cs="Palatino Linotype"/>
          <w:b/>
          <w:bCs/>
          <w:color w:val="141414"/>
        </w:rPr>
        <w:t>b</w:t>
      </w:r>
      <w:r w:rsidRPr="727BFE15">
        <w:rPr>
          <w:rFonts w:ascii="Palatino Linotype" w:eastAsia="Palatino Linotype" w:hAnsi="Palatino Linotype" w:cs="Palatino Linotype"/>
          <w:b/>
          <w:bCs/>
          <w:color w:val="141414"/>
        </w:rPr>
        <w:t>enefits</w:t>
      </w:r>
    </w:p>
    <w:tbl>
      <w:tblPr>
        <w:tblStyle w:val="GridTable4-Accent1"/>
        <w:tblW w:w="0" w:type="auto"/>
        <w:tblLayout w:type="fixed"/>
        <w:tblLook w:val="0420" w:firstRow="1" w:lastRow="0" w:firstColumn="0" w:lastColumn="0" w:noHBand="0" w:noVBand="1"/>
      </w:tblPr>
      <w:tblGrid>
        <w:gridCol w:w="4675"/>
        <w:gridCol w:w="2160"/>
      </w:tblGrid>
      <w:tr w:rsidR="00E808FD" w14:paraId="1BE432CB" w14:textId="77777777" w:rsidTr="00815FD6">
        <w:trPr>
          <w:cnfStyle w:val="100000000000" w:firstRow="1" w:lastRow="0" w:firstColumn="0" w:lastColumn="0" w:oddVBand="0" w:evenVBand="0" w:oddHBand="0" w:evenHBand="0" w:firstRowFirstColumn="0" w:firstRowLastColumn="0" w:lastRowFirstColumn="0" w:lastRowLastColumn="0"/>
        </w:trPr>
        <w:tc>
          <w:tcPr>
            <w:tcW w:w="4675" w:type="dxa"/>
          </w:tcPr>
          <w:p w14:paraId="7B61D6F4" w14:textId="77777777" w:rsidR="00E808FD" w:rsidRPr="0085166F" w:rsidRDefault="58AF5602" w:rsidP="00E62EBE">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Benefit</w:t>
            </w:r>
          </w:p>
        </w:tc>
        <w:tc>
          <w:tcPr>
            <w:tcW w:w="2160" w:type="dxa"/>
          </w:tcPr>
          <w:p w14:paraId="42B1039B" w14:textId="77777777" w:rsidR="00E808FD" w:rsidRPr="0085166F" w:rsidRDefault="58AF5602" w:rsidP="00E62EBE">
            <w:pPr>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Total</w:t>
            </w:r>
          </w:p>
        </w:tc>
      </w:tr>
      <w:tr w:rsidR="00E808FD" w14:paraId="052CAEB7" w14:textId="77777777" w:rsidTr="00815FD6">
        <w:trPr>
          <w:cnfStyle w:val="000000100000" w:firstRow="0" w:lastRow="0" w:firstColumn="0" w:lastColumn="0" w:oddVBand="0" w:evenVBand="0" w:oddHBand="1" w:evenHBand="0" w:firstRowFirstColumn="0" w:firstRowLastColumn="0" w:lastRowFirstColumn="0" w:lastRowLastColumn="0"/>
        </w:trPr>
        <w:tc>
          <w:tcPr>
            <w:tcW w:w="4675" w:type="dxa"/>
          </w:tcPr>
          <w:p w14:paraId="1C7D554A" w14:textId="1942E1E9" w:rsidR="00E808FD" w:rsidRDefault="58AF5602" w:rsidP="00E62EBE">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GHG reductions (</w:t>
            </w:r>
            <w:r w:rsidR="0912E897" w:rsidRPr="727BFE15">
              <w:rPr>
                <w:rFonts w:ascii="Palatino Linotype" w:eastAsia="Palatino Linotype" w:hAnsi="Palatino Linotype" w:cs="Palatino Linotype"/>
                <w:color w:val="141414"/>
              </w:rPr>
              <w:t>MT</w:t>
            </w:r>
            <w:r w:rsidRPr="727BFE15">
              <w:rPr>
                <w:rFonts w:ascii="Palatino Linotype" w:eastAsia="Palatino Linotype" w:hAnsi="Palatino Linotype" w:cs="Palatino Linotype"/>
                <w:color w:val="141414"/>
              </w:rPr>
              <w:t>eCO</w:t>
            </w:r>
            <w:r w:rsidRPr="727BFE15">
              <w:rPr>
                <w:rFonts w:ascii="Palatino Linotype" w:eastAsia="Palatino Linotype" w:hAnsi="Palatino Linotype" w:cs="Palatino Linotype"/>
                <w:color w:val="141414"/>
                <w:vertAlign w:val="subscript"/>
              </w:rPr>
              <w:t>2</w:t>
            </w:r>
            <w:r w:rsidRPr="727BFE15">
              <w:rPr>
                <w:rFonts w:ascii="Palatino Linotype" w:eastAsia="Palatino Linotype" w:hAnsi="Palatino Linotype" w:cs="Palatino Linotype"/>
                <w:color w:val="141414"/>
              </w:rPr>
              <w:t>)</w:t>
            </w:r>
          </w:p>
        </w:tc>
        <w:tc>
          <w:tcPr>
            <w:tcW w:w="2160" w:type="dxa"/>
          </w:tcPr>
          <w:p w14:paraId="11DA77A5" w14:textId="5D538F06" w:rsidR="00E808FD" w:rsidRPr="00301946" w:rsidRDefault="00E808FD" w:rsidP="00E62EBE">
            <w:pPr>
              <w:jc w:val="right"/>
              <w:rPr>
                <w:rFonts w:ascii="Palatino Linotype" w:eastAsia="Palatino Linotype" w:hAnsi="Palatino Linotype" w:cs="Palatino Linotype"/>
                <w:color w:val="141414"/>
                <w:highlight w:val="magenta"/>
              </w:rPr>
            </w:pPr>
          </w:p>
        </w:tc>
      </w:tr>
      <w:tr w:rsidR="00E808FD" w14:paraId="1C6C77AC" w14:textId="77777777" w:rsidTr="00815FD6">
        <w:tc>
          <w:tcPr>
            <w:tcW w:w="4675" w:type="dxa"/>
          </w:tcPr>
          <w:p w14:paraId="1E3757AF" w14:textId="77777777" w:rsidR="00E808FD" w:rsidRDefault="00E808FD"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Electricity savings (MWh)</w:t>
            </w:r>
          </w:p>
        </w:tc>
        <w:tc>
          <w:tcPr>
            <w:tcW w:w="2160" w:type="dxa"/>
          </w:tcPr>
          <w:p w14:paraId="58AA6834" w14:textId="69A2AE99" w:rsidR="00E808FD" w:rsidRPr="00301946" w:rsidRDefault="00E808FD" w:rsidP="00E62EBE">
            <w:pPr>
              <w:jc w:val="right"/>
              <w:rPr>
                <w:rFonts w:ascii="Palatino Linotype" w:eastAsia="Palatino Linotype" w:hAnsi="Palatino Linotype" w:cs="Palatino Linotype"/>
                <w:color w:val="FF0000"/>
                <w:highlight w:val="magenta"/>
              </w:rPr>
            </w:pPr>
          </w:p>
        </w:tc>
      </w:tr>
      <w:tr w:rsidR="00E808FD" w14:paraId="3DBE2D0F" w14:textId="77777777" w:rsidTr="00815FD6">
        <w:trPr>
          <w:cnfStyle w:val="000000100000" w:firstRow="0" w:lastRow="0" w:firstColumn="0" w:lastColumn="0" w:oddVBand="0" w:evenVBand="0" w:oddHBand="1" w:evenHBand="0" w:firstRowFirstColumn="0" w:firstRowLastColumn="0" w:lastRowFirstColumn="0" w:lastRowLastColumn="0"/>
        </w:trPr>
        <w:tc>
          <w:tcPr>
            <w:tcW w:w="4675" w:type="dxa"/>
          </w:tcPr>
          <w:p w14:paraId="0837C0BA" w14:textId="77777777" w:rsidR="00E808FD" w:rsidRDefault="00E808FD"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Gas savings (MTherms)</w:t>
            </w:r>
          </w:p>
        </w:tc>
        <w:tc>
          <w:tcPr>
            <w:tcW w:w="2160" w:type="dxa"/>
          </w:tcPr>
          <w:p w14:paraId="7A021A76" w14:textId="2111001F" w:rsidR="00E808FD" w:rsidRPr="00301946" w:rsidRDefault="00E808FD" w:rsidP="00E62EBE">
            <w:pPr>
              <w:jc w:val="right"/>
              <w:rPr>
                <w:rFonts w:ascii="Palatino Linotype" w:eastAsia="Palatino Linotype" w:hAnsi="Palatino Linotype" w:cs="Palatino Linotype"/>
                <w:color w:val="141414"/>
                <w:highlight w:val="magenta"/>
              </w:rPr>
            </w:pPr>
          </w:p>
        </w:tc>
      </w:tr>
      <w:tr w:rsidR="00E808FD" w14:paraId="69FB3E9F" w14:textId="77777777" w:rsidTr="00815FD6">
        <w:tc>
          <w:tcPr>
            <w:tcW w:w="4675" w:type="dxa"/>
          </w:tcPr>
          <w:p w14:paraId="43D36C98" w14:textId="77777777" w:rsidR="00E808FD" w:rsidRDefault="00E808FD"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Customer bill savings</w:t>
            </w:r>
          </w:p>
        </w:tc>
        <w:tc>
          <w:tcPr>
            <w:tcW w:w="2160" w:type="dxa"/>
          </w:tcPr>
          <w:p w14:paraId="79707311" w14:textId="243E6541" w:rsidR="00E808FD" w:rsidRPr="00301946" w:rsidRDefault="00E808FD" w:rsidP="00E62EBE">
            <w:pPr>
              <w:jc w:val="right"/>
              <w:rPr>
                <w:rFonts w:ascii="Palatino Linotype" w:eastAsia="Palatino Linotype" w:hAnsi="Palatino Linotype" w:cs="Palatino Linotype"/>
                <w:color w:val="141414"/>
                <w:highlight w:val="magenta"/>
              </w:rPr>
            </w:pPr>
          </w:p>
        </w:tc>
      </w:tr>
      <w:tr w:rsidR="00E808FD" w14:paraId="39DA97BF" w14:textId="77777777" w:rsidTr="00815FD6">
        <w:trPr>
          <w:cnfStyle w:val="000000100000" w:firstRow="0" w:lastRow="0" w:firstColumn="0" w:lastColumn="0" w:oddVBand="0" w:evenVBand="0" w:oddHBand="1" w:evenHBand="0" w:firstRowFirstColumn="0" w:firstRowLastColumn="0" w:lastRowFirstColumn="0" w:lastRowLastColumn="0"/>
        </w:trPr>
        <w:tc>
          <w:tcPr>
            <w:tcW w:w="4675" w:type="dxa"/>
          </w:tcPr>
          <w:p w14:paraId="669E45E2" w14:textId="77777777" w:rsidR="00E808FD" w:rsidRDefault="00E808FD"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Bill savings net of cost recovery charges</w:t>
            </w:r>
          </w:p>
        </w:tc>
        <w:tc>
          <w:tcPr>
            <w:tcW w:w="2160" w:type="dxa"/>
          </w:tcPr>
          <w:p w14:paraId="0FCCAB76" w14:textId="08BF26BD" w:rsidR="00E808FD" w:rsidRPr="00301946" w:rsidRDefault="00E808FD" w:rsidP="00E62EBE">
            <w:pPr>
              <w:jc w:val="right"/>
              <w:rPr>
                <w:rFonts w:ascii="Palatino Linotype" w:eastAsia="Palatino Linotype" w:hAnsi="Palatino Linotype" w:cs="Palatino Linotype"/>
                <w:color w:val="282828" w:themeColor="text1"/>
                <w:highlight w:val="magenta"/>
              </w:rPr>
            </w:pPr>
          </w:p>
        </w:tc>
      </w:tr>
      <w:tr w:rsidR="00E808FD" w14:paraId="6F359805" w14:textId="77777777" w:rsidTr="00815FD6">
        <w:tc>
          <w:tcPr>
            <w:tcW w:w="4675" w:type="dxa"/>
          </w:tcPr>
          <w:p w14:paraId="11FC57FA" w14:textId="77777777" w:rsidR="00E808FD" w:rsidRDefault="00E808FD"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Avoided equipment replacement costs</w:t>
            </w:r>
          </w:p>
        </w:tc>
        <w:tc>
          <w:tcPr>
            <w:tcW w:w="2160" w:type="dxa"/>
          </w:tcPr>
          <w:p w14:paraId="34E27880" w14:textId="283DD603" w:rsidR="00E808FD" w:rsidRPr="00301946" w:rsidRDefault="00E808FD" w:rsidP="00E62EBE">
            <w:pPr>
              <w:jc w:val="right"/>
              <w:rPr>
                <w:rFonts w:ascii="Palatino Linotype" w:eastAsia="Palatino Linotype" w:hAnsi="Palatino Linotype" w:cs="Palatino Linotype"/>
                <w:color w:val="282828" w:themeColor="text1"/>
                <w:highlight w:val="magenta"/>
              </w:rPr>
            </w:pPr>
          </w:p>
        </w:tc>
      </w:tr>
    </w:tbl>
    <w:p w14:paraId="2015523F" w14:textId="77777777" w:rsidR="00CB7D53" w:rsidRDefault="00CB7D53" w:rsidP="727BFE15">
      <w:pPr>
        <w:rPr>
          <w:rFonts w:ascii="Palatino Linotype" w:eastAsia="Palatino Linotype" w:hAnsi="Palatino Linotype" w:cs="Palatino Linotype"/>
          <w:i/>
          <w:iCs/>
          <w:color w:val="141414"/>
        </w:rPr>
      </w:pPr>
    </w:p>
    <w:p w14:paraId="3FC945B6" w14:textId="53C74E57" w:rsidR="003928E2" w:rsidRDefault="55062599" w:rsidP="727BFE15">
      <w:pPr>
        <w:rPr>
          <w:rFonts w:ascii="Palatino Linotype" w:eastAsia="Palatino Linotype" w:hAnsi="Palatino Linotype" w:cs="Palatino Linotype"/>
          <w:i/>
          <w:iCs/>
          <w:color w:val="141414"/>
        </w:rPr>
      </w:pPr>
      <w:r w:rsidRPr="727BFE15">
        <w:rPr>
          <w:rFonts w:ascii="Palatino Linotype" w:eastAsia="Palatino Linotype" w:hAnsi="Palatino Linotype" w:cs="Palatino Linotype"/>
          <w:i/>
          <w:iCs/>
          <w:color w:val="141414"/>
        </w:rPr>
        <w:t>From TECH Clean California:</w:t>
      </w:r>
    </w:p>
    <w:p w14:paraId="1F8B6B85" w14:textId="313D92F4" w:rsidR="4C18BD8E" w:rsidRPr="007F4458" w:rsidRDefault="05D0A3D8" w:rsidP="727BFE15">
      <w:pPr>
        <w:rPr>
          <w:rFonts w:ascii="Palatino Linotype" w:eastAsia="Palatino Linotype" w:hAnsi="Palatino Linotype" w:cs="Palatino Linotype"/>
          <w:i/>
          <w:iCs/>
          <w:color w:val="141414"/>
        </w:rPr>
      </w:pPr>
      <w:r w:rsidRPr="727BFE15">
        <w:rPr>
          <w:rFonts w:ascii="Palatino Linotype" w:eastAsia="Palatino Linotype" w:hAnsi="Palatino Linotype" w:cs="Palatino Linotype"/>
          <w:i/>
          <w:iCs/>
          <w:color w:val="141414"/>
        </w:rPr>
        <w:t>Analysis inputs to derive the results</w:t>
      </w:r>
      <w:r w:rsidR="0912E897" w:rsidRPr="727BFE15">
        <w:rPr>
          <w:rFonts w:ascii="Palatino Linotype" w:eastAsia="Palatino Linotype" w:hAnsi="Palatino Linotype" w:cs="Palatino Linotype"/>
          <w:i/>
          <w:iCs/>
          <w:color w:val="141414"/>
        </w:rPr>
        <w:t xml:space="preserve"> </w:t>
      </w:r>
      <w:r w:rsidR="40A192D8" w:rsidRPr="727BFE15">
        <w:rPr>
          <w:rFonts w:ascii="Palatino Linotype" w:eastAsia="Palatino Linotype" w:hAnsi="Palatino Linotype" w:cs="Palatino Linotype"/>
          <w:i/>
          <w:iCs/>
          <w:color w:val="141414"/>
        </w:rPr>
        <w:t xml:space="preserve">follow </w:t>
      </w:r>
      <w:r w:rsidR="0912E897" w:rsidRPr="727BFE15">
        <w:rPr>
          <w:rFonts w:ascii="Palatino Linotype" w:eastAsia="Palatino Linotype" w:hAnsi="Palatino Linotype" w:cs="Palatino Linotype"/>
          <w:i/>
          <w:iCs/>
          <w:color w:val="141414"/>
        </w:rPr>
        <w:t xml:space="preserve">this sample, </w:t>
      </w:r>
      <w:r w:rsidR="40A192D8" w:rsidRPr="727BFE15">
        <w:rPr>
          <w:rFonts w:ascii="Palatino Linotype" w:eastAsia="Palatino Linotype" w:hAnsi="Palatino Linotype" w:cs="Palatino Linotype"/>
          <w:i/>
          <w:iCs/>
          <w:color w:val="141414"/>
        </w:rPr>
        <w:t xml:space="preserve">which uses values [in brackets] from the ECBE data. A Program Sponsor’s customer data will be different. </w:t>
      </w:r>
    </w:p>
    <w:p w14:paraId="6F768B6F" w14:textId="5E2EE56A" w:rsidR="4C18BD8E" w:rsidRDefault="4C18BD8E" w:rsidP="6A5D419A">
      <w:pPr>
        <w:pStyle w:val="ListParagraph"/>
        <w:numPr>
          <w:ilvl w:val="0"/>
          <w:numId w:val="1"/>
        </w:numPr>
        <w:rPr>
          <w:rFonts w:eastAsiaTheme="minorEastAsia" w:cstheme="minorBidi"/>
          <w:color w:val="141414"/>
        </w:rPr>
      </w:pPr>
      <w:r w:rsidRPr="6A5D419A">
        <w:rPr>
          <w:rFonts w:ascii="Palatino Linotype" w:eastAsia="Palatino Linotype" w:hAnsi="Palatino Linotype" w:cs="Palatino Linotype"/>
        </w:rPr>
        <w:t xml:space="preserve">Target the top 20 percent of customers, based on expected utility bill savings, as inferred from observed metered </w:t>
      </w:r>
      <w:r w:rsidR="00EE505E">
        <w:rPr>
          <w:rFonts w:ascii="Palatino Linotype" w:eastAsia="Palatino Linotype" w:hAnsi="Palatino Linotype" w:cs="Palatino Linotype"/>
        </w:rPr>
        <w:t>gas and electricity</w:t>
      </w:r>
      <w:r w:rsidRPr="6A5D419A">
        <w:rPr>
          <w:rFonts w:ascii="Palatino Linotype" w:eastAsia="Palatino Linotype" w:hAnsi="Palatino Linotype" w:cs="Palatino Linotype"/>
        </w:rPr>
        <w:t xml:space="preserve"> consumption</w:t>
      </w:r>
    </w:p>
    <w:p w14:paraId="7425F39C" w14:textId="49DDDA55" w:rsidR="4C18BD8E" w:rsidRDefault="05D0A3D8"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Average baseline annual consumption</w:t>
      </w:r>
    </w:p>
    <w:p w14:paraId="7FF554B7" w14:textId="197263D0" w:rsidR="4C18BD8E" w:rsidRDefault="05D0A3D8" w:rsidP="727BFE15">
      <w:pPr>
        <w:pStyle w:val="ListParagraph"/>
        <w:numPr>
          <w:ilvl w:val="1"/>
          <w:numId w:val="1"/>
        </w:numPr>
        <w:rPr>
          <w:rFonts w:eastAsiaTheme="minorEastAsia" w:cstheme="minorBidi"/>
          <w:color w:val="141414"/>
        </w:rPr>
      </w:pPr>
      <w:r w:rsidRPr="727BFE15">
        <w:rPr>
          <w:rFonts w:ascii="Palatino Linotype" w:eastAsia="Palatino Linotype" w:hAnsi="Palatino Linotype" w:cs="Palatino Linotype"/>
        </w:rPr>
        <w:t xml:space="preserve">Space heating: </w:t>
      </w:r>
      <w:r w:rsidR="0912E897" w:rsidRPr="727BFE15">
        <w:rPr>
          <w:rFonts w:ascii="Palatino Linotype" w:eastAsia="Palatino Linotype" w:hAnsi="Palatino Linotype" w:cs="Palatino Linotype"/>
        </w:rPr>
        <w:t>[</w:t>
      </w:r>
      <w:r w:rsidRPr="727BFE15">
        <w:rPr>
          <w:rFonts w:ascii="Palatino Linotype" w:eastAsia="Palatino Linotype" w:hAnsi="Palatino Linotype" w:cs="Palatino Linotype"/>
        </w:rPr>
        <w:t>469</w:t>
      </w:r>
      <w:r w:rsidR="0912E897"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Therms per year</w:t>
      </w:r>
    </w:p>
    <w:p w14:paraId="2D9A7932" w14:textId="0FD41960" w:rsidR="4C18BD8E" w:rsidRDefault="05D0A3D8" w:rsidP="727BFE15">
      <w:pPr>
        <w:pStyle w:val="ListParagraph"/>
        <w:numPr>
          <w:ilvl w:val="1"/>
          <w:numId w:val="1"/>
        </w:numPr>
        <w:rPr>
          <w:rFonts w:eastAsiaTheme="minorEastAsia" w:cstheme="minorBidi"/>
          <w:color w:val="141414"/>
        </w:rPr>
      </w:pPr>
      <w:r w:rsidRPr="727BFE15">
        <w:rPr>
          <w:rFonts w:ascii="Palatino Linotype" w:eastAsia="Palatino Linotype" w:hAnsi="Palatino Linotype" w:cs="Palatino Linotype"/>
        </w:rPr>
        <w:t xml:space="preserve">Space cooling: </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751</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kWh per year</w:t>
      </w:r>
    </w:p>
    <w:p w14:paraId="3C100E6D" w14:textId="46BC52D5" w:rsidR="4C18BD8E" w:rsidRDefault="05D0A3D8" w:rsidP="727BFE15">
      <w:pPr>
        <w:pStyle w:val="ListParagraph"/>
        <w:numPr>
          <w:ilvl w:val="1"/>
          <w:numId w:val="1"/>
        </w:numPr>
        <w:rPr>
          <w:rFonts w:eastAsiaTheme="minorEastAsia" w:cstheme="minorBidi"/>
          <w:color w:val="141414"/>
        </w:rPr>
      </w:pPr>
      <w:r w:rsidRPr="727BFE15">
        <w:rPr>
          <w:rFonts w:ascii="Palatino Linotype" w:eastAsia="Palatino Linotype" w:hAnsi="Palatino Linotype" w:cs="Palatino Linotype"/>
        </w:rPr>
        <w:t xml:space="preserve">Water heating: </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74.5</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gallons used per day, </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128</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Therms per year</w:t>
      </w:r>
    </w:p>
    <w:p w14:paraId="5477214A" w14:textId="568F4C47" w:rsidR="00B86E65" w:rsidRDefault="1204BFE7"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Replace 80</w:t>
      </w:r>
      <w:r w:rsidR="33AB066A" w:rsidRPr="727BFE15">
        <w:rPr>
          <w:rFonts w:ascii="Palatino Linotype" w:eastAsia="Palatino Linotype" w:hAnsi="Palatino Linotype" w:cs="Palatino Linotype"/>
        </w:rPr>
        <w:t xml:space="preserve"> percent</w:t>
      </w:r>
      <w:r w:rsidRPr="727BFE15">
        <w:rPr>
          <w:rFonts w:ascii="Palatino Linotype" w:eastAsia="Palatino Linotype" w:hAnsi="Palatino Linotype" w:cs="Palatino Linotype"/>
        </w:rPr>
        <w:t xml:space="preserve"> </w:t>
      </w:r>
      <w:r w:rsidR="40A192D8" w:rsidRPr="727BFE15">
        <w:rPr>
          <w:rFonts w:ascii="Palatino Linotype" w:eastAsia="Palatino Linotype" w:hAnsi="Palatino Linotype" w:cs="Palatino Linotype"/>
        </w:rPr>
        <w:t>annual fuel utilization efficiency (</w:t>
      </w:r>
      <w:r w:rsidRPr="727BFE15">
        <w:rPr>
          <w:rFonts w:ascii="Palatino Linotype" w:eastAsia="Palatino Linotype" w:hAnsi="Palatino Linotype" w:cs="Palatino Linotype"/>
        </w:rPr>
        <w:t>AFUE</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existing furnace and 10 </w:t>
      </w:r>
      <w:r w:rsidR="40A192D8" w:rsidRPr="727BFE15">
        <w:rPr>
          <w:rFonts w:ascii="Palatino Linotype" w:eastAsia="Palatino Linotype" w:hAnsi="Palatino Linotype" w:cs="Palatino Linotype"/>
        </w:rPr>
        <w:t>seasonal energy efficiency ratio (</w:t>
      </w:r>
      <w:r w:rsidRPr="727BFE15">
        <w:rPr>
          <w:rFonts w:ascii="Palatino Linotype" w:eastAsia="Palatino Linotype" w:hAnsi="Palatino Linotype" w:cs="Palatino Linotype"/>
        </w:rPr>
        <w:t>SEER</w:t>
      </w:r>
      <w:r w:rsidR="40A192D8"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existing central </w:t>
      </w:r>
      <w:r w:rsidR="33AB066A" w:rsidRPr="727BFE15">
        <w:rPr>
          <w:rFonts w:ascii="Palatino Linotype" w:eastAsia="Palatino Linotype" w:hAnsi="Palatino Linotype" w:cs="Palatino Linotype"/>
        </w:rPr>
        <w:t>air conditioning (</w:t>
      </w:r>
      <w:r w:rsidRPr="727BFE15">
        <w:rPr>
          <w:rFonts w:ascii="Palatino Linotype" w:eastAsia="Palatino Linotype" w:hAnsi="Palatino Linotype" w:cs="Palatino Linotype"/>
        </w:rPr>
        <w:t>AC</w:t>
      </w:r>
      <w:r w:rsidR="33AB066A"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with 10 </w:t>
      </w:r>
      <w:r w:rsidR="33AB066A" w:rsidRPr="727BFE15">
        <w:rPr>
          <w:rFonts w:ascii="Palatino Linotype" w:eastAsia="Palatino Linotype" w:hAnsi="Palatino Linotype" w:cs="Palatino Linotype"/>
        </w:rPr>
        <w:t>heating seasonal performance factor (</w:t>
      </w:r>
      <w:r w:rsidRPr="727BFE15">
        <w:rPr>
          <w:rFonts w:ascii="Palatino Linotype" w:eastAsia="Palatino Linotype" w:hAnsi="Palatino Linotype" w:cs="Palatino Linotype"/>
        </w:rPr>
        <w:t>HSPF</w:t>
      </w:r>
      <w:r w:rsidR="33AB066A"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(2.9 </w:t>
      </w:r>
      <w:r w:rsidR="33AB066A" w:rsidRPr="727BFE15">
        <w:rPr>
          <w:rFonts w:ascii="Palatino Linotype" w:eastAsia="Palatino Linotype" w:hAnsi="Palatino Linotype" w:cs="Palatino Linotype"/>
        </w:rPr>
        <w:t>coefficient of performance {</w:t>
      </w:r>
      <w:r w:rsidRPr="727BFE15">
        <w:rPr>
          <w:rFonts w:ascii="Palatino Linotype" w:eastAsia="Palatino Linotype" w:hAnsi="Palatino Linotype" w:cs="Palatino Linotype"/>
        </w:rPr>
        <w:t>COP</w:t>
      </w:r>
      <w:r w:rsidR="33AB066A"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 18 SEER </w:t>
      </w:r>
      <w:r w:rsidR="33AB066A" w:rsidRPr="727BFE15">
        <w:rPr>
          <w:rFonts w:ascii="Palatino Linotype" w:eastAsia="Palatino Linotype" w:hAnsi="Palatino Linotype" w:cs="Palatino Linotype"/>
        </w:rPr>
        <w:t>h</w:t>
      </w:r>
      <w:r w:rsidRPr="727BFE15">
        <w:rPr>
          <w:rFonts w:ascii="Palatino Linotype" w:eastAsia="Palatino Linotype" w:hAnsi="Palatino Linotype" w:cs="Palatino Linotype"/>
        </w:rPr>
        <w:t xml:space="preserve">eat </w:t>
      </w:r>
      <w:r w:rsidR="33AB066A" w:rsidRPr="727BFE15">
        <w:rPr>
          <w:rFonts w:ascii="Palatino Linotype" w:eastAsia="Palatino Linotype" w:hAnsi="Palatino Linotype" w:cs="Palatino Linotype"/>
        </w:rPr>
        <w:t>p</w:t>
      </w:r>
      <w:r w:rsidRPr="727BFE15">
        <w:rPr>
          <w:rFonts w:ascii="Palatino Linotype" w:eastAsia="Palatino Linotype" w:hAnsi="Palatino Linotype" w:cs="Palatino Linotype"/>
        </w:rPr>
        <w:t>ump</w:t>
      </w:r>
    </w:p>
    <w:p w14:paraId="04637464" w14:textId="252FA1EA" w:rsidR="4C18BD8E" w:rsidRDefault="05D0A3D8"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Replace 58</w:t>
      </w:r>
      <w:r w:rsidR="33AB066A" w:rsidRPr="727BFE15">
        <w:rPr>
          <w:rFonts w:ascii="Palatino Linotype" w:eastAsia="Palatino Linotype" w:hAnsi="Palatino Linotype" w:cs="Palatino Linotype"/>
        </w:rPr>
        <w:t xml:space="preserve"> percent</w:t>
      </w:r>
      <w:r w:rsidRPr="727BFE15">
        <w:rPr>
          <w:rFonts w:ascii="Palatino Linotype" w:eastAsia="Palatino Linotype" w:hAnsi="Palatino Linotype" w:cs="Palatino Linotype"/>
        </w:rPr>
        <w:t xml:space="preserve"> </w:t>
      </w:r>
      <w:r w:rsidR="33AB066A" w:rsidRPr="727BFE15">
        <w:rPr>
          <w:rFonts w:ascii="Palatino Linotype" w:eastAsia="Palatino Linotype" w:hAnsi="Palatino Linotype" w:cs="Palatino Linotype"/>
        </w:rPr>
        <w:t>energy factor (</w:t>
      </w:r>
      <w:r w:rsidRPr="727BFE15">
        <w:rPr>
          <w:rFonts w:ascii="Palatino Linotype" w:eastAsia="Palatino Linotype" w:hAnsi="Palatino Linotype" w:cs="Palatino Linotype"/>
        </w:rPr>
        <w:t>EF</w:t>
      </w:r>
      <w:r w:rsidR="33AB066A"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existing gas water heater with 3.1 COP </w:t>
      </w:r>
      <w:r w:rsidR="33AB066A" w:rsidRPr="727BFE15">
        <w:rPr>
          <w:rFonts w:ascii="Palatino Linotype" w:eastAsia="Palatino Linotype" w:hAnsi="Palatino Linotype" w:cs="Palatino Linotype"/>
        </w:rPr>
        <w:t>h</w:t>
      </w:r>
      <w:r w:rsidRPr="727BFE15">
        <w:rPr>
          <w:rFonts w:ascii="Palatino Linotype" w:eastAsia="Palatino Linotype" w:hAnsi="Palatino Linotype" w:cs="Palatino Linotype"/>
        </w:rPr>
        <w:t xml:space="preserve">eat </w:t>
      </w:r>
      <w:r w:rsidR="33AB066A" w:rsidRPr="727BFE15">
        <w:rPr>
          <w:rFonts w:ascii="Palatino Linotype" w:eastAsia="Palatino Linotype" w:hAnsi="Palatino Linotype" w:cs="Palatino Linotype"/>
        </w:rPr>
        <w:t>p</w:t>
      </w:r>
      <w:r w:rsidRPr="727BFE15">
        <w:rPr>
          <w:rFonts w:ascii="Palatino Linotype" w:eastAsia="Palatino Linotype" w:hAnsi="Palatino Linotype" w:cs="Palatino Linotype"/>
        </w:rPr>
        <w:t xml:space="preserve">ump </w:t>
      </w:r>
      <w:r w:rsidR="33AB066A" w:rsidRPr="727BFE15">
        <w:rPr>
          <w:rFonts w:ascii="Palatino Linotype" w:eastAsia="Palatino Linotype" w:hAnsi="Palatino Linotype" w:cs="Palatino Linotype"/>
        </w:rPr>
        <w:t>w</w:t>
      </w:r>
      <w:r w:rsidRPr="727BFE15">
        <w:rPr>
          <w:rFonts w:ascii="Palatino Linotype" w:eastAsia="Palatino Linotype" w:hAnsi="Palatino Linotype" w:cs="Palatino Linotype"/>
        </w:rPr>
        <w:t xml:space="preserve">ater </w:t>
      </w:r>
      <w:r w:rsidR="33AB066A" w:rsidRPr="727BFE15">
        <w:rPr>
          <w:rFonts w:ascii="Palatino Linotype" w:eastAsia="Palatino Linotype" w:hAnsi="Palatino Linotype" w:cs="Palatino Linotype"/>
        </w:rPr>
        <w:t>h</w:t>
      </w:r>
      <w:r w:rsidRPr="727BFE15">
        <w:rPr>
          <w:rFonts w:ascii="Palatino Linotype" w:eastAsia="Palatino Linotype" w:hAnsi="Palatino Linotype" w:cs="Palatino Linotype"/>
        </w:rPr>
        <w:t>eater</w:t>
      </w:r>
    </w:p>
    <w:p w14:paraId="7985381B" w14:textId="3584CAA4" w:rsidR="4C18BD8E" w:rsidRDefault="05D0A3D8"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 xml:space="preserve">Energy </w:t>
      </w:r>
      <w:r w:rsidR="33AB066A" w:rsidRPr="727BFE15">
        <w:rPr>
          <w:rFonts w:ascii="Palatino Linotype" w:eastAsia="Palatino Linotype" w:hAnsi="Palatino Linotype" w:cs="Palatino Linotype"/>
        </w:rPr>
        <w:t>e</w:t>
      </w:r>
      <w:r w:rsidRPr="727BFE15">
        <w:rPr>
          <w:rFonts w:ascii="Palatino Linotype" w:eastAsia="Palatino Linotype" w:hAnsi="Palatino Linotype" w:cs="Palatino Linotype"/>
        </w:rPr>
        <w:t>fficiency improvements to reduce heating and cooling loads by 30 percent</w:t>
      </w:r>
    </w:p>
    <w:p w14:paraId="6E6C5152" w14:textId="05540EF3" w:rsidR="4C18BD8E" w:rsidRDefault="05D0A3D8"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 xml:space="preserve">Baseline gas price from </w:t>
      </w:r>
      <w:r w:rsidR="33AB066A" w:rsidRPr="727BFE15">
        <w:rPr>
          <w:rFonts w:ascii="Palatino Linotype" w:eastAsia="Palatino Linotype" w:hAnsi="Palatino Linotype" w:cs="Palatino Linotype"/>
        </w:rPr>
        <w:t>[</w:t>
      </w:r>
      <w:r w:rsidRPr="727BFE15">
        <w:rPr>
          <w:rFonts w:ascii="Palatino Linotype" w:eastAsia="Palatino Linotype" w:hAnsi="Palatino Linotype" w:cs="Palatino Linotype"/>
        </w:rPr>
        <w:t>PG&amp;E G-1 at $1.8814</w:t>
      </w:r>
      <w:r w:rsidR="41C2CF4B" w:rsidRPr="727BFE15">
        <w:rPr>
          <w:rFonts w:ascii="Palatino Linotype" w:eastAsia="Palatino Linotype" w:hAnsi="Palatino Linotype" w:cs="Palatino Linotype"/>
        </w:rPr>
        <w:t>]</w:t>
      </w:r>
    </w:p>
    <w:p w14:paraId="6E69477A" w14:textId="28C525A9" w:rsidR="4C18BD8E" w:rsidRPr="009C591A" w:rsidRDefault="05D0A3D8"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 xml:space="preserve">Baseline summer cooling electricity price from </w:t>
      </w:r>
      <w:r w:rsidR="41C2CF4B"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PG&amp;E </w:t>
      </w:r>
      <w:r w:rsidR="41C2CF4B" w:rsidRPr="727BFE15">
        <w:rPr>
          <w:rFonts w:ascii="Palatino Linotype" w:eastAsia="Palatino Linotype" w:hAnsi="Palatino Linotype" w:cs="Palatino Linotype"/>
        </w:rPr>
        <w:t>time of use (</w:t>
      </w:r>
      <w:r w:rsidRPr="727BFE15">
        <w:rPr>
          <w:rFonts w:ascii="Palatino Linotype" w:eastAsia="Palatino Linotype" w:hAnsi="Palatino Linotype" w:cs="Palatino Linotype"/>
        </w:rPr>
        <w:t>TOU</w:t>
      </w:r>
      <w:r w:rsidR="41C2CF4B"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-C </w:t>
      </w:r>
      <w:r w:rsidR="41C2CF4B" w:rsidRPr="727BFE15">
        <w:rPr>
          <w:rFonts w:ascii="Palatino Linotype" w:eastAsia="Palatino Linotype" w:hAnsi="Palatino Linotype" w:cs="Palatino Linotype"/>
        </w:rPr>
        <w:t>s</w:t>
      </w:r>
      <w:r w:rsidRPr="727BFE15">
        <w:rPr>
          <w:rFonts w:ascii="Palatino Linotype" w:eastAsia="Palatino Linotype" w:hAnsi="Palatino Linotype" w:cs="Palatino Linotype"/>
        </w:rPr>
        <w:t xml:space="preserve">ummer </w:t>
      </w:r>
      <w:r w:rsidR="41C2CF4B" w:rsidRPr="727BFE15">
        <w:rPr>
          <w:rFonts w:ascii="Palatino Linotype" w:eastAsia="Palatino Linotype" w:hAnsi="Palatino Linotype" w:cs="Palatino Linotype"/>
        </w:rPr>
        <w:t>o</w:t>
      </w:r>
      <w:r w:rsidRPr="727BFE15">
        <w:rPr>
          <w:rFonts w:ascii="Palatino Linotype" w:eastAsia="Palatino Linotype" w:hAnsi="Palatino Linotype" w:cs="Palatino Linotype"/>
        </w:rPr>
        <w:t>ff-</w:t>
      </w:r>
      <w:r w:rsidR="41C2CF4B" w:rsidRPr="727BFE15">
        <w:rPr>
          <w:rFonts w:ascii="Palatino Linotype" w:eastAsia="Palatino Linotype" w:hAnsi="Palatino Linotype" w:cs="Palatino Linotype"/>
        </w:rPr>
        <w:t>p</w:t>
      </w:r>
      <w:r w:rsidRPr="727BFE15">
        <w:rPr>
          <w:rFonts w:ascii="Palatino Linotype" w:eastAsia="Palatino Linotype" w:hAnsi="Palatino Linotype" w:cs="Palatino Linotype"/>
        </w:rPr>
        <w:t>eak</w:t>
      </w:r>
      <w:r w:rsidR="41C2CF4B" w:rsidRPr="727BFE15">
        <w:rPr>
          <w:rFonts w:ascii="Palatino Linotype" w:eastAsia="Palatino Linotype" w:hAnsi="Palatino Linotype" w:cs="Palatino Linotype"/>
        </w:rPr>
        <w:t xml:space="preserve"> rate</w:t>
      </w:r>
      <w:r w:rsidR="5F12EA3D"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 $0.3563</w:t>
      </w:r>
      <w:r w:rsidR="41C2CF4B" w:rsidRPr="727BFE15">
        <w:rPr>
          <w:rFonts w:ascii="Palatino Linotype" w:eastAsia="Palatino Linotype" w:hAnsi="Palatino Linotype" w:cs="Palatino Linotype"/>
        </w:rPr>
        <w:t>]</w:t>
      </w:r>
    </w:p>
    <w:p w14:paraId="4D37FC8C" w14:textId="491C9058" w:rsidR="4C18BD8E" w:rsidRDefault="05D0A3D8"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Post-</w:t>
      </w:r>
      <w:r w:rsidR="5F12EA3D" w:rsidRPr="727BFE15">
        <w:rPr>
          <w:rFonts w:ascii="Palatino Linotype" w:eastAsia="Palatino Linotype" w:hAnsi="Palatino Linotype" w:cs="Palatino Linotype"/>
        </w:rPr>
        <w:t>r</w:t>
      </w:r>
      <w:r w:rsidRPr="727BFE15">
        <w:rPr>
          <w:rFonts w:ascii="Palatino Linotype" w:eastAsia="Palatino Linotype" w:hAnsi="Palatino Linotype" w:cs="Palatino Linotype"/>
        </w:rPr>
        <w:t xml:space="preserve">etrofit summer cooling electricity price from </w:t>
      </w:r>
      <w:r w:rsidR="5F12EA3D"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PG&amp;E EV2 </w:t>
      </w:r>
      <w:r w:rsidR="5F12EA3D" w:rsidRPr="727BFE15">
        <w:rPr>
          <w:rFonts w:ascii="Palatino Linotype" w:eastAsia="Palatino Linotype" w:hAnsi="Palatino Linotype" w:cs="Palatino Linotype"/>
        </w:rPr>
        <w:t>s</w:t>
      </w:r>
      <w:r w:rsidRPr="727BFE15">
        <w:rPr>
          <w:rFonts w:ascii="Palatino Linotype" w:eastAsia="Palatino Linotype" w:hAnsi="Palatino Linotype" w:cs="Palatino Linotype"/>
        </w:rPr>
        <w:t xml:space="preserve">ummer </w:t>
      </w:r>
      <w:r w:rsidR="5F12EA3D" w:rsidRPr="727BFE15">
        <w:rPr>
          <w:rFonts w:ascii="Palatino Linotype" w:eastAsia="Palatino Linotype" w:hAnsi="Palatino Linotype" w:cs="Palatino Linotype"/>
        </w:rPr>
        <w:t>w</w:t>
      </w:r>
      <w:r w:rsidRPr="727BFE15">
        <w:rPr>
          <w:rFonts w:ascii="Palatino Linotype" w:eastAsia="Palatino Linotype" w:hAnsi="Palatino Linotype" w:cs="Palatino Linotype"/>
        </w:rPr>
        <w:t xml:space="preserve">eighted </w:t>
      </w:r>
      <w:r w:rsidR="5F12EA3D" w:rsidRPr="727BFE15">
        <w:rPr>
          <w:rFonts w:ascii="Palatino Linotype" w:eastAsia="Palatino Linotype" w:hAnsi="Palatino Linotype" w:cs="Palatino Linotype"/>
        </w:rPr>
        <w:t>average</w:t>
      </w:r>
      <w:r w:rsidRPr="727BFE15">
        <w:rPr>
          <w:rFonts w:ascii="Palatino Linotype" w:eastAsia="Palatino Linotype" w:hAnsi="Palatino Linotype" w:cs="Palatino Linotype"/>
        </w:rPr>
        <w:t xml:space="preserve"> of </w:t>
      </w:r>
      <w:r w:rsidR="5F12EA3D" w:rsidRPr="727BFE15">
        <w:rPr>
          <w:rFonts w:ascii="Palatino Linotype" w:eastAsia="Palatino Linotype" w:hAnsi="Palatino Linotype" w:cs="Palatino Linotype"/>
        </w:rPr>
        <w:t>p</w:t>
      </w:r>
      <w:r w:rsidRPr="727BFE15">
        <w:rPr>
          <w:rFonts w:ascii="Palatino Linotype" w:eastAsia="Palatino Linotype" w:hAnsi="Palatino Linotype" w:cs="Palatino Linotype"/>
        </w:rPr>
        <w:t>artial</w:t>
      </w:r>
      <w:r w:rsidR="5F12EA3D" w:rsidRPr="727BFE15">
        <w:rPr>
          <w:rFonts w:ascii="Palatino Linotype" w:eastAsia="Palatino Linotype" w:hAnsi="Palatino Linotype" w:cs="Palatino Linotype"/>
        </w:rPr>
        <w:t xml:space="preserve"> p</w:t>
      </w:r>
      <w:r w:rsidRPr="727BFE15">
        <w:rPr>
          <w:rFonts w:ascii="Palatino Linotype" w:eastAsia="Palatino Linotype" w:hAnsi="Palatino Linotype" w:cs="Palatino Linotype"/>
        </w:rPr>
        <w:t xml:space="preserve">eak and </w:t>
      </w:r>
      <w:r w:rsidR="5F12EA3D" w:rsidRPr="727BFE15">
        <w:rPr>
          <w:rFonts w:ascii="Palatino Linotype" w:eastAsia="Palatino Linotype" w:hAnsi="Palatino Linotype" w:cs="Palatino Linotype"/>
        </w:rPr>
        <w:t>o</w:t>
      </w:r>
      <w:r w:rsidRPr="727BFE15">
        <w:rPr>
          <w:rFonts w:ascii="Palatino Linotype" w:eastAsia="Palatino Linotype" w:hAnsi="Palatino Linotype" w:cs="Palatino Linotype"/>
        </w:rPr>
        <w:t>ff-</w:t>
      </w:r>
      <w:r w:rsidR="5F12EA3D" w:rsidRPr="727BFE15">
        <w:rPr>
          <w:rFonts w:ascii="Palatino Linotype" w:eastAsia="Palatino Linotype" w:hAnsi="Palatino Linotype" w:cs="Palatino Linotype"/>
        </w:rPr>
        <w:t>p</w:t>
      </w:r>
      <w:r w:rsidRPr="727BFE15">
        <w:rPr>
          <w:rFonts w:ascii="Palatino Linotype" w:eastAsia="Palatino Linotype" w:hAnsi="Palatino Linotype" w:cs="Palatino Linotype"/>
        </w:rPr>
        <w:t xml:space="preserve">eak </w:t>
      </w:r>
      <w:r w:rsidR="5F12EA3D" w:rsidRPr="727BFE15">
        <w:rPr>
          <w:rFonts w:ascii="Palatino Linotype" w:eastAsia="Palatino Linotype" w:hAnsi="Palatino Linotype" w:cs="Palatino Linotype"/>
        </w:rPr>
        <w:t>rate</w:t>
      </w:r>
      <w:r w:rsidRPr="727BFE15">
        <w:rPr>
          <w:rFonts w:ascii="Palatino Linotype" w:eastAsia="Palatino Linotype" w:hAnsi="Palatino Linotype" w:cs="Palatino Linotype"/>
        </w:rPr>
        <w:t>, $0.2278</w:t>
      </w:r>
      <w:r w:rsidR="5F12EA3D" w:rsidRPr="727BFE15">
        <w:rPr>
          <w:rFonts w:ascii="Palatino Linotype" w:eastAsia="Palatino Linotype" w:hAnsi="Palatino Linotype" w:cs="Palatino Linotype"/>
        </w:rPr>
        <w:t>]</w:t>
      </w:r>
    </w:p>
    <w:p w14:paraId="0173A963" w14:textId="58FF7C8E" w:rsidR="4C18BD8E" w:rsidRDefault="05D0A3D8" w:rsidP="727BFE15">
      <w:pPr>
        <w:pStyle w:val="ListParagraph"/>
        <w:numPr>
          <w:ilvl w:val="0"/>
          <w:numId w:val="1"/>
        </w:numPr>
        <w:rPr>
          <w:rFonts w:eastAsiaTheme="minorEastAsia" w:cstheme="minorBidi"/>
          <w:color w:val="141414"/>
        </w:rPr>
      </w:pPr>
      <w:r w:rsidRPr="727BFE15">
        <w:rPr>
          <w:rFonts w:ascii="Palatino Linotype" w:eastAsia="Palatino Linotype" w:hAnsi="Palatino Linotype" w:cs="Palatino Linotype"/>
        </w:rPr>
        <w:t xml:space="preserve">Post-retrofit winter space heating and water heating electricity price from </w:t>
      </w:r>
      <w:r w:rsidR="5F12EA3D" w:rsidRPr="727BFE15">
        <w:rPr>
          <w:rFonts w:ascii="Palatino Linotype" w:eastAsia="Palatino Linotype" w:hAnsi="Palatino Linotype" w:cs="Palatino Linotype"/>
        </w:rPr>
        <w:t>[</w:t>
      </w:r>
      <w:r w:rsidRPr="727BFE15">
        <w:rPr>
          <w:rFonts w:ascii="Palatino Linotype" w:eastAsia="Palatino Linotype" w:hAnsi="Palatino Linotype" w:cs="Palatino Linotype"/>
        </w:rPr>
        <w:t xml:space="preserve">SCE TOU-D </w:t>
      </w:r>
      <w:r w:rsidR="5F12EA3D" w:rsidRPr="727BFE15">
        <w:rPr>
          <w:rFonts w:ascii="Palatino Linotype" w:eastAsia="Palatino Linotype" w:hAnsi="Palatino Linotype" w:cs="Palatino Linotype"/>
        </w:rPr>
        <w:t>p</w:t>
      </w:r>
      <w:r w:rsidRPr="727BFE15">
        <w:rPr>
          <w:rFonts w:ascii="Palatino Linotype" w:eastAsia="Palatino Linotype" w:hAnsi="Palatino Linotype" w:cs="Palatino Linotype"/>
        </w:rPr>
        <w:t xml:space="preserve">rime </w:t>
      </w:r>
      <w:r w:rsidR="5F12EA3D" w:rsidRPr="727BFE15">
        <w:rPr>
          <w:rFonts w:ascii="Palatino Linotype" w:eastAsia="Palatino Linotype" w:hAnsi="Palatino Linotype" w:cs="Palatino Linotype"/>
        </w:rPr>
        <w:t>w</w:t>
      </w:r>
      <w:r w:rsidRPr="727BFE15">
        <w:rPr>
          <w:rFonts w:ascii="Palatino Linotype" w:eastAsia="Palatino Linotype" w:hAnsi="Palatino Linotype" w:cs="Palatino Linotype"/>
        </w:rPr>
        <w:t xml:space="preserve">inter </w:t>
      </w:r>
      <w:r w:rsidR="5F12EA3D" w:rsidRPr="727BFE15">
        <w:rPr>
          <w:rFonts w:ascii="Palatino Linotype" w:eastAsia="Palatino Linotype" w:hAnsi="Palatino Linotype" w:cs="Palatino Linotype"/>
        </w:rPr>
        <w:t>o</w:t>
      </w:r>
      <w:r w:rsidRPr="727BFE15">
        <w:rPr>
          <w:rFonts w:ascii="Palatino Linotype" w:eastAsia="Palatino Linotype" w:hAnsi="Palatino Linotype" w:cs="Palatino Linotype"/>
        </w:rPr>
        <w:t>ff-</w:t>
      </w:r>
      <w:r w:rsidR="5F12EA3D" w:rsidRPr="727BFE15">
        <w:rPr>
          <w:rFonts w:ascii="Palatino Linotype" w:eastAsia="Palatino Linotype" w:hAnsi="Palatino Linotype" w:cs="Palatino Linotype"/>
        </w:rPr>
        <w:t>p</w:t>
      </w:r>
      <w:r w:rsidRPr="727BFE15">
        <w:rPr>
          <w:rFonts w:ascii="Palatino Linotype" w:eastAsia="Palatino Linotype" w:hAnsi="Palatino Linotype" w:cs="Palatino Linotype"/>
        </w:rPr>
        <w:t xml:space="preserve">eak / </w:t>
      </w:r>
      <w:r w:rsidR="5F12EA3D" w:rsidRPr="727BFE15">
        <w:rPr>
          <w:rFonts w:ascii="Palatino Linotype" w:eastAsia="Palatino Linotype" w:hAnsi="Palatino Linotype" w:cs="Palatino Linotype"/>
        </w:rPr>
        <w:t>s</w:t>
      </w:r>
      <w:r w:rsidRPr="727BFE15">
        <w:rPr>
          <w:rFonts w:ascii="Palatino Linotype" w:eastAsia="Palatino Linotype" w:hAnsi="Palatino Linotype" w:cs="Palatino Linotype"/>
        </w:rPr>
        <w:t>uper-</w:t>
      </w:r>
      <w:r w:rsidR="5F12EA3D" w:rsidRPr="727BFE15">
        <w:rPr>
          <w:rFonts w:ascii="Palatino Linotype" w:eastAsia="Palatino Linotype" w:hAnsi="Palatino Linotype" w:cs="Palatino Linotype"/>
        </w:rPr>
        <w:t>o</w:t>
      </w:r>
      <w:r w:rsidRPr="727BFE15">
        <w:rPr>
          <w:rFonts w:ascii="Palatino Linotype" w:eastAsia="Palatino Linotype" w:hAnsi="Palatino Linotype" w:cs="Palatino Linotype"/>
        </w:rPr>
        <w:t>ff-</w:t>
      </w:r>
      <w:r w:rsidR="5F12EA3D" w:rsidRPr="727BFE15">
        <w:rPr>
          <w:rFonts w:ascii="Palatino Linotype" w:eastAsia="Palatino Linotype" w:hAnsi="Palatino Linotype" w:cs="Palatino Linotype"/>
        </w:rPr>
        <w:t>p</w:t>
      </w:r>
      <w:r w:rsidRPr="727BFE15">
        <w:rPr>
          <w:rFonts w:ascii="Palatino Linotype" w:eastAsia="Palatino Linotype" w:hAnsi="Palatino Linotype" w:cs="Palatino Linotype"/>
        </w:rPr>
        <w:t xml:space="preserve">eak </w:t>
      </w:r>
      <w:r w:rsidR="5F12EA3D" w:rsidRPr="727BFE15">
        <w:rPr>
          <w:rFonts w:ascii="Palatino Linotype" w:eastAsia="Palatino Linotype" w:hAnsi="Palatino Linotype" w:cs="Palatino Linotype"/>
        </w:rPr>
        <w:t>rate</w:t>
      </w:r>
      <w:r w:rsidRPr="727BFE15">
        <w:rPr>
          <w:rFonts w:ascii="Palatino Linotype" w:eastAsia="Palatino Linotype" w:hAnsi="Palatino Linotype" w:cs="Palatino Linotype"/>
        </w:rPr>
        <w:t>, $0.1935</w:t>
      </w:r>
      <w:r w:rsidR="5F12EA3D" w:rsidRPr="727BFE15">
        <w:rPr>
          <w:rFonts w:ascii="Palatino Linotype" w:eastAsia="Palatino Linotype" w:hAnsi="Palatino Linotype" w:cs="Palatino Linotype"/>
        </w:rPr>
        <w:t>]</w:t>
      </w:r>
    </w:p>
    <w:p w14:paraId="769DDBCE" w14:textId="35205CB8" w:rsidR="003E5C8B" w:rsidRPr="005E4E2C" w:rsidRDefault="5F12EA3D" w:rsidP="003E5C8B">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Table 3 </w:t>
      </w:r>
      <w:r w:rsidRPr="727BFE15">
        <w:rPr>
          <w:rFonts w:ascii="Palatino Linotype" w:eastAsia="Palatino Linotype" w:hAnsi="Palatino Linotype" w:cs="Palatino Linotype"/>
          <w:color w:val="141414"/>
        </w:rPr>
        <w:t>shows t</w:t>
      </w:r>
      <w:r w:rsidR="05D0A3D8" w:rsidRPr="727BFE15">
        <w:rPr>
          <w:rFonts w:ascii="Palatino Linotype" w:eastAsia="Palatino Linotype" w:hAnsi="Palatino Linotype" w:cs="Palatino Linotype"/>
          <w:color w:val="141414"/>
        </w:rPr>
        <w:t>he associated measure installation cost assumptions for the modeled upgrades.</w:t>
      </w:r>
      <w:r w:rsidR="7CEF380B" w:rsidRPr="727BFE15">
        <w:rPr>
          <w:rFonts w:ascii="Palatino Linotype" w:eastAsia="Palatino Linotype" w:hAnsi="Palatino Linotype" w:cs="Palatino Linotype"/>
          <w:color w:val="141414"/>
        </w:rPr>
        <w:t xml:space="preserve"> </w:t>
      </w:r>
      <w:r w:rsidR="7CEF380B" w:rsidRPr="727BFE15">
        <w:rPr>
          <w:rFonts w:ascii="Palatino Linotype" w:eastAsia="Palatino Linotype" w:hAnsi="Palatino Linotype" w:cs="Palatino Linotype"/>
          <w:b/>
          <w:bCs/>
          <w:color w:val="141414"/>
        </w:rPr>
        <w:t xml:space="preserve">Table 4 </w:t>
      </w:r>
      <w:r w:rsidR="7CEF380B" w:rsidRPr="727BFE15">
        <w:rPr>
          <w:rFonts w:ascii="Palatino Linotype" w:eastAsia="Palatino Linotype" w:hAnsi="Palatino Linotype" w:cs="Palatino Linotype"/>
          <w:color w:val="141414"/>
        </w:rPr>
        <w:t xml:space="preserve">shows the modeled project-level </w:t>
      </w:r>
      <w:r w:rsidR="201AFB45" w:rsidRPr="727BFE15">
        <w:rPr>
          <w:rFonts w:ascii="Palatino Linotype" w:eastAsia="Palatino Linotype" w:hAnsi="Palatino Linotype" w:cs="Palatino Linotype"/>
          <w:color w:val="141414"/>
        </w:rPr>
        <w:t>factors to be considered</w:t>
      </w:r>
      <w:r w:rsidR="7CEF380B" w:rsidRPr="727BFE15">
        <w:rPr>
          <w:rFonts w:ascii="Palatino Linotype" w:eastAsia="Palatino Linotype" w:hAnsi="Palatino Linotype" w:cs="Palatino Linotype"/>
          <w:color w:val="141414"/>
        </w:rPr>
        <w:t>.</w:t>
      </w:r>
      <w:r w:rsidR="201AFB45" w:rsidRPr="727BFE15">
        <w:rPr>
          <w:rFonts w:ascii="Palatino Linotype" w:eastAsia="Palatino Linotype" w:hAnsi="Palatino Linotype" w:cs="Palatino Linotype"/>
          <w:color w:val="141414"/>
        </w:rPr>
        <w:t xml:space="preserve"> </w:t>
      </w:r>
      <w:r w:rsidR="201AFB45" w:rsidRPr="727BFE15">
        <w:rPr>
          <w:rFonts w:ascii="Palatino Linotype" w:eastAsia="Palatino Linotype" w:hAnsi="Palatino Linotype" w:cs="Palatino Linotype"/>
          <w:b/>
          <w:bCs/>
          <w:color w:val="141414"/>
        </w:rPr>
        <w:t xml:space="preserve">Table 5 </w:t>
      </w:r>
      <w:r w:rsidR="201AFB45" w:rsidRPr="727BFE15">
        <w:rPr>
          <w:rFonts w:ascii="Palatino Linotype" w:eastAsia="Palatino Linotype" w:hAnsi="Palatino Linotype" w:cs="Palatino Linotype"/>
          <w:color w:val="141414"/>
        </w:rPr>
        <w:t xml:space="preserve">offers a model for determining the funding request, derived from the data in </w:t>
      </w:r>
      <w:r w:rsidR="201AFB45" w:rsidRPr="727BFE15">
        <w:rPr>
          <w:rFonts w:ascii="Palatino Linotype" w:eastAsia="Palatino Linotype" w:hAnsi="Palatino Linotype" w:cs="Palatino Linotype"/>
          <w:b/>
          <w:bCs/>
          <w:color w:val="141414"/>
        </w:rPr>
        <w:t xml:space="preserve">Table 3 </w:t>
      </w:r>
      <w:r w:rsidR="201AFB45" w:rsidRPr="727BFE15">
        <w:rPr>
          <w:rFonts w:ascii="Palatino Linotype" w:eastAsia="Palatino Linotype" w:hAnsi="Palatino Linotype" w:cs="Palatino Linotype"/>
          <w:color w:val="141414"/>
        </w:rPr>
        <w:t xml:space="preserve">and </w:t>
      </w:r>
      <w:r w:rsidR="201AFB45" w:rsidRPr="727BFE15">
        <w:rPr>
          <w:rFonts w:ascii="Palatino Linotype" w:eastAsia="Palatino Linotype" w:hAnsi="Palatino Linotype" w:cs="Palatino Linotype"/>
          <w:b/>
          <w:bCs/>
          <w:color w:val="141414"/>
        </w:rPr>
        <w:t>Table 4.</w:t>
      </w:r>
    </w:p>
    <w:p w14:paraId="5B4CAC31" w14:textId="210655C4" w:rsidR="4C18BD8E" w:rsidRDefault="4C18BD8E" w:rsidP="6A5D419A">
      <w:pPr>
        <w:rPr>
          <w:rFonts w:ascii="Palatino Linotype" w:eastAsia="Palatino Linotype" w:hAnsi="Palatino Linotype" w:cs="Palatino Linotype"/>
          <w:color w:val="141414"/>
        </w:rPr>
      </w:pPr>
    </w:p>
    <w:p w14:paraId="20A7E8D0" w14:textId="622941B7" w:rsidR="4C18BD8E" w:rsidRDefault="05D0A3D8">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Table </w:t>
      </w:r>
      <w:r w:rsidR="26A6252C" w:rsidRPr="727BFE15">
        <w:rPr>
          <w:rFonts w:ascii="Palatino Linotype" w:eastAsia="Palatino Linotype" w:hAnsi="Palatino Linotype" w:cs="Palatino Linotype"/>
          <w:b/>
          <w:bCs/>
          <w:color w:val="141414"/>
        </w:rPr>
        <w:t>3</w:t>
      </w:r>
      <w:r w:rsidRPr="727BFE15">
        <w:rPr>
          <w:rFonts w:ascii="Palatino Linotype" w:eastAsia="Palatino Linotype" w:hAnsi="Palatino Linotype" w:cs="Palatino Linotype"/>
          <w:b/>
          <w:bCs/>
          <w:color w:val="141414"/>
        </w:rPr>
        <w:t xml:space="preserve">. </w:t>
      </w:r>
      <w:r w:rsidR="5F12EA3D" w:rsidRPr="727BFE15">
        <w:rPr>
          <w:rFonts w:ascii="Palatino Linotype" w:eastAsia="Palatino Linotype" w:hAnsi="Palatino Linotype" w:cs="Palatino Linotype"/>
          <w:b/>
          <w:bCs/>
          <w:color w:val="141414"/>
        </w:rPr>
        <w:t>Installed costs of relevant measures</w:t>
      </w:r>
    </w:p>
    <w:tbl>
      <w:tblPr>
        <w:tblStyle w:val="GridTable4-Accent1"/>
        <w:tblW w:w="9360" w:type="dxa"/>
        <w:tblLayout w:type="fixed"/>
        <w:tblLook w:val="0420" w:firstRow="1" w:lastRow="0" w:firstColumn="0" w:lastColumn="0" w:noHBand="0" w:noVBand="1"/>
      </w:tblPr>
      <w:tblGrid>
        <w:gridCol w:w="4374"/>
        <w:gridCol w:w="3424"/>
        <w:gridCol w:w="1562"/>
      </w:tblGrid>
      <w:tr w:rsidR="65132141" w14:paraId="456DA626" w14:textId="77777777" w:rsidTr="00646C7E">
        <w:trPr>
          <w:cnfStyle w:val="100000000000" w:firstRow="1" w:lastRow="0" w:firstColumn="0" w:lastColumn="0" w:oddVBand="0" w:evenVBand="0" w:oddHBand="0" w:evenHBand="0" w:firstRowFirstColumn="0" w:firstRowLastColumn="0" w:lastRowFirstColumn="0" w:lastRowLastColumn="0"/>
          <w:trHeight w:val="90"/>
          <w:tblHeader/>
        </w:trPr>
        <w:tc>
          <w:tcPr>
            <w:tcW w:w="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FFFFFF" w:themeColor="background1"/>
            </w:tcBorders>
          </w:tcPr>
          <w:p w14:paraId="45412F55" w14:textId="3F90CECA" w:rsidR="65132141" w:rsidRPr="0085166F"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Technology </w:t>
            </w:r>
          </w:p>
        </w:tc>
        <w:tc>
          <w:tcPr>
            <w:tcW w:w="0" w:type="dxa"/>
            <w:tcBorders>
              <w:top w:val="single" w:sz="8" w:space="0" w:color="68DDF8" w:themeColor="accent1" w:themeTint="99"/>
              <w:left w:val="single" w:sz="8" w:space="0" w:color="FFFFFF" w:themeColor="background1"/>
              <w:bottom w:val="single" w:sz="8" w:space="0" w:color="68DDF8" w:themeColor="accent1" w:themeTint="99"/>
              <w:right w:val="single" w:sz="8" w:space="0" w:color="FFFFFF" w:themeColor="background1"/>
            </w:tcBorders>
          </w:tcPr>
          <w:p w14:paraId="694A2B0C" w14:textId="5ECB8305" w:rsidR="65132141" w:rsidRPr="0085166F"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Specification</w:t>
            </w:r>
          </w:p>
        </w:tc>
        <w:tc>
          <w:tcPr>
            <w:tcW w:w="0" w:type="dxa"/>
            <w:tcBorders>
              <w:top w:val="single" w:sz="8" w:space="0" w:color="68DDF8" w:themeColor="accent1" w:themeTint="99"/>
              <w:left w:val="single" w:sz="8" w:space="0" w:color="FFFFFF" w:themeColor="background1"/>
              <w:bottom w:val="single" w:sz="8" w:space="0" w:color="68DDF8" w:themeColor="accent1" w:themeTint="99"/>
              <w:right w:val="single" w:sz="8" w:space="0" w:color="68DDF8" w:themeColor="accent1" w:themeTint="99"/>
            </w:tcBorders>
          </w:tcPr>
          <w:p w14:paraId="43F35AE2" w14:textId="2BA7E671" w:rsidR="65132141" w:rsidRPr="0085166F" w:rsidRDefault="05F897C5" w:rsidP="6A5D419A">
            <w:pPr>
              <w:ind w:left="606" w:hanging="606"/>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Measure </w:t>
            </w:r>
            <w:r w:rsidR="7CEF380B" w:rsidRPr="727BFE15">
              <w:rPr>
                <w:rFonts w:ascii="Palatino Linotype" w:eastAsia="Palatino Linotype" w:hAnsi="Palatino Linotype" w:cs="Palatino Linotype"/>
                <w:color w:val="141414"/>
              </w:rPr>
              <w:t>c</w:t>
            </w:r>
            <w:r w:rsidRPr="727BFE15">
              <w:rPr>
                <w:rFonts w:ascii="Palatino Linotype" w:eastAsia="Palatino Linotype" w:hAnsi="Palatino Linotype" w:cs="Palatino Linotype"/>
                <w:color w:val="141414"/>
              </w:rPr>
              <w:t>ost</w:t>
            </w:r>
          </w:p>
        </w:tc>
      </w:tr>
      <w:tr w:rsidR="65132141" w14:paraId="0B3D2F02" w14:textId="77777777" w:rsidTr="727BFE15">
        <w:trPr>
          <w:cnfStyle w:val="000000100000" w:firstRow="0" w:lastRow="0" w:firstColumn="0" w:lastColumn="0" w:oddVBand="0" w:evenVBand="0" w:oddHBand="1" w:evenHBand="0" w:firstRowFirstColumn="0" w:firstRowLastColumn="0" w:lastRowFirstColumn="0" w:lastRowLastColumn="0"/>
          <w:trHeight w:val="780"/>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07397CE" w14:textId="7C963B3F"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Heat </w:t>
            </w:r>
            <w:r w:rsidR="5F12EA3D" w:rsidRPr="727BFE15">
              <w:rPr>
                <w:rFonts w:ascii="Palatino Linotype" w:eastAsia="Palatino Linotype" w:hAnsi="Palatino Linotype" w:cs="Palatino Linotype"/>
                <w:color w:val="141414"/>
              </w:rPr>
              <w:t>p</w:t>
            </w:r>
            <w:r w:rsidRPr="727BFE15">
              <w:rPr>
                <w:rFonts w:ascii="Palatino Linotype" w:eastAsia="Palatino Linotype" w:hAnsi="Palatino Linotype" w:cs="Palatino Linotype"/>
                <w:color w:val="141414"/>
              </w:rPr>
              <w:t>ump</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429DEF39" w14:textId="60BD6F5B" w:rsidR="65132141" w:rsidRDefault="7CEF380B">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Package, split, mini</w:t>
            </w:r>
            <w:r w:rsidRPr="727BFE15">
              <w:rPr>
                <w:rFonts w:ascii="Palatino Linotype" w:eastAsia="Palatino Linotype" w:hAnsi="Palatino Linotype" w:cs="Palatino Linotype"/>
                <w:color w:val="141414"/>
              </w:rPr>
              <w:t xml:space="preserve"> </w:t>
            </w:r>
            <w:r w:rsidR="05F897C5" w:rsidRPr="727BFE15">
              <w:rPr>
                <w:rFonts w:ascii="Palatino Linotype" w:eastAsia="Palatino Linotype" w:hAnsi="Palatino Linotype" w:cs="Palatino Linotype"/>
                <w:color w:val="141414"/>
              </w:rPr>
              <w:t>/</w:t>
            </w:r>
            <w:r w:rsidRPr="727BFE15">
              <w:rPr>
                <w:rFonts w:ascii="Palatino Linotype" w:eastAsia="Palatino Linotype" w:hAnsi="Palatino Linotype" w:cs="Palatino Linotype"/>
                <w:color w:val="141414"/>
              </w:rPr>
              <w:t xml:space="preserve"> </w:t>
            </w:r>
            <w:r w:rsidR="05F897C5" w:rsidRPr="727BFE15">
              <w:rPr>
                <w:rFonts w:ascii="Palatino Linotype" w:eastAsia="Palatino Linotype" w:hAnsi="Palatino Linotype" w:cs="Palatino Linotype"/>
                <w:color w:val="141414"/>
              </w:rPr>
              <w:t>multi-split, 18 SEER, 10 HSPF</w:t>
            </w:r>
            <w:r w:rsidRPr="727BFE15">
              <w:rPr>
                <w:rFonts w:ascii="Palatino Linotype" w:eastAsia="Palatino Linotype" w:hAnsi="Palatino Linotype" w:cs="Palatino Linotype"/>
                <w:color w:val="141414"/>
              </w:rPr>
              <w:t>]</w:t>
            </w:r>
          </w:p>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B7E373D" w14:textId="0293EB02" w:rsidR="65132141" w:rsidRPr="00FF62ED" w:rsidRDefault="7CEF380B" w:rsidP="6A5D419A">
            <w:pPr>
              <w:ind w:left="606" w:hanging="606"/>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w:t>
            </w:r>
            <w:r w:rsidRPr="727BFE15">
              <w:rPr>
                <w:rFonts w:ascii="Palatino Linotype" w:eastAsia="Palatino Linotype" w:hAnsi="Palatino Linotype" w:cs="Palatino Linotype"/>
                <w:color w:val="141414"/>
              </w:rPr>
              <w:t xml:space="preserve"> </w:t>
            </w:r>
            <w:r w:rsidR="05F897C5" w:rsidRPr="727BFE15">
              <w:rPr>
                <w:rFonts w:ascii="Palatino Linotype" w:eastAsia="Palatino Linotype" w:hAnsi="Palatino Linotype" w:cs="Palatino Linotype"/>
                <w:color w:val="141414"/>
              </w:rPr>
              <w:t>17,047</w:t>
            </w:r>
            <w:r w:rsidRPr="727BFE15">
              <w:rPr>
                <w:rFonts w:ascii="Palatino Linotype" w:eastAsia="Palatino Linotype" w:hAnsi="Palatino Linotype" w:cs="Palatino Linotype"/>
                <w:color w:val="141414"/>
              </w:rPr>
              <w:t>]</w:t>
            </w:r>
          </w:p>
        </w:tc>
      </w:tr>
      <w:tr w:rsidR="65132141" w14:paraId="590A376D" w14:textId="77777777" w:rsidTr="727BFE15">
        <w:trPr>
          <w:trHeight w:val="480"/>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4809D439" w14:textId="1502C148"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Heat </w:t>
            </w:r>
            <w:r w:rsidR="5F12EA3D" w:rsidRPr="727BFE15">
              <w:rPr>
                <w:rFonts w:ascii="Palatino Linotype" w:eastAsia="Palatino Linotype" w:hAnsi="Palatino Linotype" w:cs="Palatino Linotype"/>
                <w:color w:val="141414"/>
              </w:rPr>
              <w:t>p</w:t>
            </w:r>
            <w:r w:rsidRPr="727BFE15">
              <w:rPr>
                <w:rFonts w:ascii="Palatino Linotype" w:eastAsia="Palatino Linotype" w:hAnsi="Palatino Linotype" w:cs="Palatino Linotype"/>
                <w:color w:val="141414"/>
              </w:rPr>
              <w:t xml:space="preserve">ump </w:t>
            </w:r>
            <w:r w:rsidR="5F12EA3D" w:rsidRPr="727BFE15">
              <w:rPr>
                <w:rFonts w:ascii="Palatino Linotype" w:eastAsia="Palatino Linotype" w:hAnsi="Palatino Linotype" w:cs="Palatino Linotype"/>
                <w:color w:val="141414"/>
              </w:rPr>
              <w:t>w</w:t>
            </w:r>
            <w:r w:rsidRPr="727BFE15">
              <w:rPr>
                <w:rFonts w:ascii="Palatino Linotype" w:eastAsia="Palatino Linotype" w:hAnsi="Palatino Linotype" w:cs="Palatino Linotype"/>
                <w:color w:val="141414"/>
              </w:rPr>
              <w:t xml:space="preserve">ater </w:t>
            </w:r>
            <w:r w:rsidR="5F12EA3D" w:rsidRPr="727BFE15">
              <w:rPr>
                <w:rFonts w:ascii="Palatino Linotype" w:eastAsia="Palatino Linotype" w:hAnsi="Palatino Linotype" w:cs="Palatino Linotype"/>
                <w:color w:val="141414"/>
              </w:rPr>
              <w:t>h</w:t>
            </w:r>
            <w:r w:rsidRPr="727BFE15">
              <w:rPr>
                <w:rFonts w:ascii="Palatino Linotype" w:eastAsia="Palatino Linotype" w:hAnsi="Palatino Linotype" w:cs="Palatino Linotype"/>
                <w:color w:val="141414"/>
              </w:rPr>
              <w:t>eater</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B2FD216" w14:textId="5A3F1180" w:rsidR="65132141" w:rsidRDefault="7CEF380B">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COP 3.1 or better, &gt; 55 gal</w:t>
            </w:r>
            <w:r w:rsidRPr="727BFE15">
              <w:rPr>
                <w:rFonts w:ascii="Palatino Linotype" w:eastAsia="Palatino Linotype" w:hAnsi="Palatino Linotype" w:cs="Palatino Linotype"/>
                <w:color w:val="141414"/>
              </w:rPr>
              <w:t>lons]</w:t>
            </w:r>
          </w:p>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74FCF7D" w14:textId="2E959908" w:rsidR="65132141" w:rsidRPr="00FF62ED" w:rsidRDefault="7CEF380B" w:rsidP="6A5D419A">
            <w:pPr>
              <w:ind w:left="606" w:hanging="606"/>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$ 4,239</w:t>
            </w:r>
            <w:r w:rsidRPr="727BFE15">
              <w:rPr>
                <w:rFonts w:ascii="Palatino Linotype" w:eastAsia="Palatino Linotype" w:hAnsi="Palatino Linotype" w:cs="Palatino Linotype"/>
                <w:color w:val="141414"/>
              </w:rPr>
              <w:t>]</w:t>
            </w:r>
          </w:p>
        </w:tc>
      </w:tr>
      <w:tr w:rsidR="65132141" w14:paraId="4DEB2B50" w14:textId="77777777" w:rsidTr="727BFE15">
        <w:trPr>
          <w:cnfStyle w:val="000000100000" w:firstRow="0" w:lastRow="0" w:firstColumn="0" w:lastColumn="0" w:oddVBand="0" w:evenVBand="0" w:oddHBand="1" w:evenHBand="0" w:firstRowFirstColumn="0" w:firstRowLastColumn="0" w:lastRowFirstColumn="0" w:lastRowLastColumn="0"/>
          <w:trHeight w:val="795"/>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5E4DA97" w14:textId="4C2B1562"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Energy</w:t>
            </w:r>
            <w:r w:rsidR="5F12EA3D" w:rsidRPr="727BFE15">
              <w:rPr>
                <w:rFonts w:ascii="Palatino Linotype" w:eastAsia="Palatino Linotype" w:hAnsi="Palatino Linotype" w:cs="Palatino Linotype"/>
                <w:color w:val="141414"/>
              </w:rPr>
              <w:t xml:space="preserve"> </w:t>
            </w:r>
            <w:r w:rsidRPr="727BFE15">
              <w:rPr>
                <w:rFonts w:ascii="Palatino Linotype" w:eastAsia="Palatino Linotype" w:hAnsi="Palatino Linotype" w:cs="Palatino Linotype"/>
                <w:color w:val="141414"/>
              </w:rPr>
              <w:t>efficien</w:t>
            </w:r>
            <w:r w:rsidR="5F12EA3D" w:rsidRPr="727BFE15">
              <w:rPr>
                <w:rFonts w:ascii="Palatino Linotype" w:eastAsia="Palatino Linotype" w:hAnsi="Palatino Linotype" w:cs="Palatino Linotype"/>
                <w:color w:val="141414"/>
              </w:rPr>
              <w:t>cy</w:t>
            </w:r>
            <w:r w:rsidRPr="727BFE15">
              <w:rPr>
                <w:rFonts w:ascii="Palatino Linotype" w:eastAsia="Palatino Linotype" w:hAnsi="Palatino Linotype" w:cs="Palatino Linotype"/>
                <w:color w:val="141414"/>
              </w:rPr>
              <w:t xml:space="preserve"> upgrades</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27392B3" w14:textId="18313263" w:rsidR="65132141" w:rsidRDefault="7CEF380B">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30%</w:t>
            </w: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 xml:space="preserve"> reduction in space heating </w:t>
            </w:r>
            <w:r w:rsidRPr="727BFE15">
              <w:rPr>
                <w:rFonts w:ascii="Palatino Linotype" w:eastAsia="Palatino Linotype" w:hAnsi="Palatino Linotype" w:cs="Palatino Linotype"/>
                <w:color w:val="141414"/>
              </w:rPr>
              <w:t>and</w:t>
            </w:r>
            <w:r w:rsidR="05F897C5" w:rsidRPr="727BFE15">
              <w:rPr>
                <w:rFonts w:ascii="Palatino Linotype" w:eastAsia="Palatino Linotype" w:hAnsi="Palatino Linotype" w:cs="Palatino Linotype"/>
                <w:color w:val="141414"/>
              </w:rPr>
              <w:t xml:space="preserve"> cooling loads</w:t>
            </w:r>
          </w:p>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11527F1" w14:textId="18AD134A" w:rsidR="65132141" w:rsidRPr="00FF62ED" w:rsidRDefault="7CEF380B" w:rsidP="6A5D419A">
            <w:pPr>
              <w:ind w:left="606" w:hanging="606"/>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w:t>
            </w:r>
            <w:r w:rsidRPr="727BFE15">
              <w:rPr>
                <w:rFonts w:ascii="Palatino Linotype" w:eastAsia="Palatino Linotype" w:hAnsi="Palatino Linotype" w:cs="Palatino Linotype"/>
                <w:color w:val="141414"/>
              </w:rPr>
              <w:t xml:space="preserve"> </w:t>
            </w:r>
            <w:r w:rsidR="05F897C5" w:rsidRPr="727BFE15">
              <w:rPr>
                <w:rFonts w:ascii="Palatino Linotype" w:eastAsia="Palatino Linotype" w:hAnsi="Palatino Linotype" w:cs="Palatino Linotype"/>
                <w:color w:val="141414"/>
              </w:rPr>
              <w:t>2,157</w:t>
            </w:r>
            <w:r w:rsidRPr="727BFE15">
              <w:rPr>
                <w:rFonts w:ascii="Palatino Linotype" w:eastAsia="Palatino Linotype" w:hAnsi="Palatino Linotype" w:cs="Palatino Linotype"/>
                <w:color w:val="141414"/>
              </w:rPr>
              <w:t>]</w:t>
            </w:r>
          </w:p>
        </w:tc>
      </w:tr>
      <w:tr w:rsidR="65132141" w14:paraId="1A5BDDBD" w14:textId="77777777" w:rsidTr="727BFE15">
        <w:trPr>
          <w:trHeight w:val="405"/>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104B126" w14:textId="1F46ECC2"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Internet-enabled </w:t>
            </w:r>
            <w:r w:rsidR="5F12EA3D" w:rsidRPr="727BFE15">
              <w:rPr>
                <w:rFonts w:ascii="Palatino Linotype" w:eastAsia="Palatino Linotype" w:hAnsi="Palatino Linotype" w:cs="Palatino Linotype"/>
                <w:color w:val="141414"/>
              </w:rPr>
              <w:t>s</w:t>
            </w:r>
            <w:r w:rsidRPr="727BFE15">
              <w:rPr>
                <w:rFonts w:ascii="Palatino Linotype" w:eastAsia="Palatino Linotype" w:hAnsi="Palatino Linotype" w:cs="Palatino Linotype"/>
                <w:color w:val="141414"/>
              </w:rPr>
              <w:t xml:space="preserve">mart </w:t>
            </w:r>
            <w:r w:rsidR="5F12EA3D" w:rsidRPr="727BFE15">
              <w:rPr>
                <w:rFonts w:ascii="Palatino Linotype" w:eastAsia="Palatino Linotype" w:hAnsi="Palatino Linotype" w:cs="Palatino Linotype"/>
                <w:color w:val="141414"/>
              </w:rPr>
              <w:t>t</w:t>
            </w:r>
            <w:r w:rsidRPr="727BFE15">
              <w:rPr>
                <w:rFonts w:ascii="Palatino Linotype" w:eastAsia="Palatino Linotype" w:hAnsi="Palatino Linotype" w:cs="Palatino Linotype"/>
                <w:color w:val="141414"/>
              </w:rPr>
              <w:t>hermostat</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B9C6385" w14:textId="6B68575C" w:rsidR="65132141" w:rsidRDefault="7CEF380B">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ecobee3 lite or equivalent</w:t>
            </w:r>
            <w:r w:rsidRPr="727BFE15">
              <w:rPr>
                <w:rFonts w:ascii="Palatino Linotype" w:eastAsia="Palatino Linotype" w:hAnsi="Palatino Linotype" w:cs="Palatino Linotype"/>
                <w:color w:val="141414"/>
              </w:rPr>
              <w:t>]</w:t>
            </w:r>
          </w:p>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20F23FC" w14:textId="25BA946B" w:rsidR="65132141" w:rsidRPr="00FF62ED" w:rsidRDefault="7CEF380B" w:rsidP="6A5D419A">
            <w:pPr>
              <w:ind w:left="606" w:hanging="606"/>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w:t>
            </w:r>
            <w:r w:rsidRPr="727BFE15">
              <w:rPr>
                <w:rFonts w:ascii="Palatino Linotype" w:eastAsia="Palatino Linotype" w:hAnsi="Palatino Linotype" w:cs="Palatino Linotype"/>
                <w:color w:val="141414"/>
              </w:rPr>
              <w:t xml:space="preserve"> </w:t>
            </w:r>
            <w:r w:rsidR="05F897C5" w:rsidRPr="727BFE15">
              <w:rPr>
                <w:rFonts w:ascii="Palatino Linotype" w:eastAsia="Palatino Linotype" w:hAnsi="Palatino Linotype" w:cs="Palatino Linotype"/>
                <w:color w:val="141414"/>
              </w:rPr>
              <w:t>205</w:t>
            </w:r>
            <w:r w:rsidRPr="727BFE15">
              <w:rPr>
                <w:rFonts w:ascii="Palatino Linotype" w:eastAsia="Palatino Linotype" w:hAnsi="Palatino Linotype" w:cs="Palatino Linotype"/>
                <w:color w:val="141414"/>
              </w:rPr>
              <w:t>]</w:t>
            </w:r>
          </w:p>
        </w:tc>
      </w:tr>
      <w:tr w:rsidR="65132141" w14:paraId="643CABC0" w14:textId="77777777" w:rsidTr="727BFE15">
        <w:trPr>
          <w:cnfStyle w:val="000000100000" w:firstRow="0" w:lastRow="0" w:firstColumn="0" w:lastColumn="0" w:oddVBand="0" w:evenVBand="0" w:oddHBand="1" w:evenHBand="0" w:firstRowFirstColumn="0" w:firstRowLastColumn="0" w:lastRowFirstColumn="0" w:lastRowLastColumn="0"/>
          <w:trHeight w:val="405"/>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63D940E" w14:textId="7BFD4AF1"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Pre-wiring for electric appliances </w:t>
            </w:r>
            <w:r w:rsidR="5F12EA3D" w:rsidRPr="727BFE15">
              <w:rPr>
                <w:rFonts w:ascii="Palatino Linotype" w:eastAsia="Palatino Linotype" w:hAnsi="Palatino Linotype" w:cs="Palatino Linotype"/>
                <w:color w:val="141414"/>
              </w:rPr>
              <w:t>and</w:t>
            </w:r>
            <w:r w:rsidRPr="727BFE15">
              <w:rPr>
                <w:rFonts w:ascii="Palatino Linotype" w:eastAsia="Palatino Linotype" w:hAnsi="Palatino Linotype" w:cs="Palatino Linotype"/>
                <w:color w:val="141414"/>
              </w:rPr>
              <w:t xml:space="preserve"> car charging </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4BBE60FA" w14:textId="40378818" w:rsidR="65132141" w:rsidRDefault="65132141"/>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2343886" w14:textId="527E5F78" w:rsidR="65132141" w:rsidRPr="00FF62ED" w:rsidRDefault="7CEF380B" w:rsidP="6A5D419A">
            <w:pPr>
              <w:ind w:left="606" w:hanging="606"/>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w:t>
            </w:r>
            <w:r w:rsidRPr="727BFE15">
              <w:rPr>
                <w:rFonts w:ascii="Palatino Linotype" w:eastAsia="Palatino Linotype" w:hAnsi="Palatino Linotype" w:cs="Palatino Linotype"/>
                <w:color w:val="141414"/>
              </w:rPr>
              <w:t xml:space="preserve"> </w:t>
            </w:r>
            <w:r w:rsidR="05F897C5" w:rsidRPr="727BFE15">
              <w:rPr>
                <w:rFonts w:ascii="Palatino Linotype" w:eastAsia="Palatino Linotype" w:hAnsi="Palatino Linotype" w:cs="Palatino Linotype"/>
                <w:color w:val="141414"/>
              </w:rPr>
              <w:t>750</w:t>
            </w: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 xml:space="preserve"> </w:t>
            </w:r>
          </w:p>
        </w:tc>
      </w:tr>
      <w:tr w:rsidR="65132141" w14:paraId="63CF227B" w14:textId="77777777" w:rsidTr="727BFE15">
        <w:trPr>
          <w:trHeight w:val="615"/>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7CA04E2" w14:textId="5B33D656" w:rsidR="65132141" w:rsidRDefault="1695B5E2">
            <w:pPr>
              <w:rPr>
                <w:rFonts w:ascii="Palatino Linotype" w:eastAsia="Palatino Linotype" w:hAnsi="Palatino Linotype" w:cs="Palatino Linotype"/>
                <w:b/>
                <w:bCs/>
                <w:color w:val="141414"/>
              </w:rPr>
            </w:pPr>
            <w:r w:rsidRPr="6A5D419A">
              <w:rPr>
                <w:rFonts w:ascii="Palatino Linotype" w:eastAsia="Palatino Linotype" w:hAnsi="Palatino Linotype" w:cs="Palatino Linotype"/>
                <w:b/>
                <w:bCs/>
                <w:color w:val="141414"/>
              </w:rPr>
              <w:t>Total</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45BF790A" w14:textId="261D9BAC" w:rsidR="65132141" w:rsidRDefault="65132141"/>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2A52BB4" w14:textId="5E040385" w:rsidR="65132141" w:rsidRPr="00FF62ED" w:rsidRDefault="7CEF380B" w:rsidP="6A5D419A">
            <w:pPr>
              <w:ind w:left="606" w:hanging="606"/>
              <w:jc w:val="right"/>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w:t>
            </w:r>
            <w:r w:rsidR="05F897C5" w:rsidRPr="727BFE15">
              <w:rPr>
                <w:rFonts w:ascii="Palatino Linotype" w:eastAsia="Palatino Linotype" w:hAnsi="Palatino Linotype" w:cs="Palatino Linotype"/>
                <w:b/>
                <w:bCs/>
                <w:color w:val="141414"/>
              </w:rPr>
              <w:t>$</w:t>
            </w:r>
            <w:r w:rsidR="22E24B52" w:rsidRPr="727BFE15">
              <w:rPr>
                <w:rFonts w:ascii="Palatino Linotype" w:eastAsia="Palatino Linotype" w:hAnsi="Palatino Linotype" w:cs="Palatino Linotype"/>
                <w:b/>
                <w:bCs/>
                <w:color w:val="141414"/>
              </w:rPr>
              <w:t>24</w:t>
            </w:r>
            <w:r w:rsidR="05F897C5" w:rsidRPr="727BFE15">
              <w:rPr>
                <w:rFonts w:ascii="Palatino Linotype" w:eastAsia="Palatino Linotype" w:hAnsi="Palatino Linotype" w:cs="Palatino Linotype"/>
                <w:b/>
                <w:bCs/>
                <w:color w:val="141414"/>
              </w:rPr>
              <w:t>,</w:t>
            </w:r>
            <w:r w:rsidR="22E24B52" w:rsidRPr="727BFE15">
              <w:rPr>
                <w:rFonts w:ascii="Palatino Linotype" w:eastAsia="Palatino Linotype" w:hAnsi="Palatino Linotype" w:cs="Palatino Linotype"/>
                <w:b/>
                <w:bCs/>
                <w:color w:val="141414"/>
              </w:rPr>
              <w:t>39</w:t>
            </w:r>
            <w:r w:rsidR="05F897C5" w:rsidRPr="727BFE15">
              <w:rPr>
                <w:rFonts w:ascii="Palatino Linotype" w:eastAsia="Palatino Linotype" w:hAnsi="Palatino Linotype" w:cs="Palatino Linotype"/>
                <w:b/>
                <w:bCs/>
                <w:color w:val="141414"/>
              </w:rPr>
              <w:t>8</w:t>
            </w:r>
            <w:r w:rsidRPr="727BFE15">
              <w:rPr>
                <w:rFonts w:ascii="Palatino Linotype" w:eastAsia="Palatino Linotype" w:hAnsi="Palatino Linotype" w:cs="Palatino Linotype"/>
                <w:b/>
                <w:bCs/>
                <w:color w:val="141414"/>
              </w:rPr>
              <w:t>]</w:t>
            </w:r>
          </w:p>
        </w:tc>
      </w:tr>
      <w:tr w:rsidR="65132141" w14:paraId="1FB8AB0A" w14:textId="77777777" w:rsidTr="727BFE15">
        <w:trPr>
          <w:cnfStyle w:val="000000100000" w:firstRow="0" w:lastRow="0" w:firstColumn="0" w:lastColumn="0" w:oddVBand="0" w:evenVBand="0" w:oddHBand="1" w:evenHBand="0" w:firstRowFirstColumn="0" w:firstRowLastColumn="0" w:lastRowFirstColumn="0" w:lastRowLastColumn="0"/>
          <w:trHeight w:val="450"/>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AF61B54" w14:textId="3420502B" w:rsidR="65132141" w:rsidRDefault="05F897C5">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Costs </w:t>
            </w:r>
            <w:r w:rsidR="7CEF380B" w:rsidRPr="727BFE15">
              <w:rPr>
                <w:rFonts w:ascii="Palatino Linotype" w:eastAsia="Palatino Linotype" w:hAnsi="Palatino Linotype" w:cs="Palatino Linotype"/>
                <w:b/>
                <w:bCs/>
                <w:color w:val="141414"/>
              </w:rPr>
              <w:t>e</w:t>
            </w:r>
            <w:r w:rsidRPr="727BFE15">
              <w:rPr>
                <w:rFonts w:ascii="Palatino Linotype" w:eastAsia="Palatino Linotype" w:hAnsi="Palatino Linotype" w:cs="Palatino Linotype"/>
                <w:b/>
                <w:bCs/>
                <w:color w:val="141414"/>
              </w:rPr>
              <w:t xml:space="preserve">xcluded from </w:t>
            </w:r>
            <w:r w:rsidR="7CEF380B" w:rsidRPr="727BFE15">
              <w:rPr>
                <w:rFonts w:ascii="Palatino Linotype" w:eastAsia="Palatino Linotype" w:hAnsi="Palatino Linotype" w:cs="Palatino Linotype"/>
                <w:b/>
                <w:bCs/>
                <w:color w:val="141414"/>
              </w:rPr>
              <w:t>a</w:t>
            </w:r>
            <w:r w:rsidRPr="727BFE15">
              <w:rPr>
                <w:rFonts w:ascii="Palatino Linotype" w:eastAsia="Palatino Linotype" w:hAnsi="Palatino Linotype" w:cs="Palatino Linotype"/>
                <w:b/>
                <w:bCs/>
                <w:color w:val="141414"/>
              </w:rPr>
              <w:t>nalysis</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420B5D1" w14:textId="758281ED" w:rsidR="65132141" w:rsidRDefault="65132141"/>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DCA9AC4" w14:textId="20CD8EDE" w:rsidR="65132141" w:rsidRPr="00FF62ED" w:rsidRDefault="65132141"/>
        </w:tc>
      </w:tr>
      <w:tr w:rsidR="65132141" w14:paraId="7E872683" w14:textId="77777777" w:rsidTr="727BFE15">
        <w:trPr>
          <w:trHeight w:val="450"/>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AD5FDE7" w14:textId="66461515" w:rsidR="65132141" w:rsidRDefault="273E64EA">
            <w:pPr>
              <w:rPr>
                <w:rFonts w:ascii="Palatino Linotype" w:eastAsia="Palatino Linotype" w:hAnsi="Palatino Linotype" w:cs="Palatino Linotype"/>
                <w:color w:val="141414"/>
              </w:rPr>
            </w:pPr>
            <w:r w:rsidRPr="5DC7ABCB">
              <w:rPr>
                <w:rFonts w:ascii="Palatino Linotype" w:eastAsia="Palatino Linotype" w:hAnsi="Palatino Linotype" w:cs="Palatino Linotype"/>
                <w:color w:val="141414"/>
              </w:rPr>
              <w:t>Home Wi-Fi network</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5B39AAF" w14:textId="786B2403" w:rsidR="65132141" w:rsidRDefault="65132141"/>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0831E98" w14:textId="788C399E" w:rsidR="65132141" w:rsidRPr="00FF62ED" w:rsidRDefault="1695B5E2" w:rsidP="6A5D419A">
            <w:pPr>
              <w:ind w:left="606" w:hanging="606"/>
              <w:jc w:val="right"/>
              <w:rPr>
                <w:rFonts w:ascii="Palatino Linotype" w:eastAsia="Palatino Linotype" w:hAnsi="Palatino Linotype" w:cs="Palatino Linotype"/>
                <w:color w:val="141414"/>
              </w:rPr>
            </w:pPr>
            <w:r w:rsidRPr="00FF62ED">
              <w:rPr>
                <w:rFonts w:ascii="Palatino Linotype" w:eastAsia="Palatino Linotype" w:hAnsi="Palatino Linotype" w:cs="Palatino Linotype"/>
                <w:color w:val="141414"/>
              </w:rPr>
              <w:t>-</w:t>
            </w:r>
          </w:p>
        </w:tc>
      </w:tr>
      <w:tr w:rsidR="00DD77CA" w14:paraId="641DDBA9" w14:textId="77777777" w:rsidTr="727BFE15">
        <w:trPr>
          <w:cnfStyle w:val="000000100000" w:firstRow="0" w:lastRow="0" w:firstColumn="0" w:lastColumn="0" w:oddVBand="0" w:evenVBand="0" w:oddHBand="1" w:evenHBand="0" w:firstRowFirstColumn="0" w:firstRowLastColumn="0" w:lastRowFirstColumn="0" w:lastRowLastColumn="0"/>
          <w:trHeight w:val="750"/>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35F94C1" w14:textId="2782A41B" w:rsidR="00DD77CA" w:rsidRDefault="00DD77CA" w:rsidP="00DD77CA">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 xml:space="preserve">Service panel upgrade, as needed </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B06D640" w14:textId="22D51F2A" w:rsidR="00DD77CA" w:rsidRDefault="00DD77CA" w:rsidP="00DD77CA">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 xml:space="preserve">Smart panel, to be covered by </w:t>
            </w:r>
            <w:r w:rsidR="00FF62ED">
              <w:rPr>
                <w:rFonts w:ascii="Palatino Linotype" w:eastAsia="Palatino Linotype" w:hAnsi="Palatino Linotype" w:cs="Palatino Linotype"/>
                <w:color w:val="141414"/>
              </w:rPr>
              <w:t xml:space="preserve">combination of </w:t>
            </w:r>
            <w:r w:rsidRPr="6A5D419A">
              <w:rPr>
                <w:rFonts w:ascii="Palatino Linotype" w:eastAsia="Palatino Linotype" w:hAnsi="Palatino Linotype" w:cs="Palatino Linotype"/>
                <w:color w:val="141414"/>
              </w:rPr>
              <w:t xml:space="preserve">TECH incentives </w:t>
            </w:r>
            <w:r w:rsidR="00FF62ED">
              <w:rPr>
                <w:rFonts w:ascii="Palatino Linotype" w:eastAsia="Palatino Linotype" w:hAnsi="Palatino Linotype" w:cs="Palatino Linotype"/>
                <w:color w:val="141414"/>
              </w:rPr>
              <w:t>and</w:t>
            </w:r>
            <w:r w:rsidRPr="6A5D419A">
              <w:rPr>
                <w:rFonts w:ascii="Palatino Linotype" w:eastAsia="Palatino Linotype" w:hAnsi="Palatino Linotype" w:cs="Palatino Linotype"/>
                <w:color w:val="141414"/>
              </w:rPr>
              <w:t xml:space="preserve"> ratepayer funds</w:t>
            </w:r>
          </w:p>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1215078" w14:textId="4D09E310" w:rsidR="00DD77CA" w:rsidRPr="00FF62ED" w:rsidRDefault="7CEF380B" w:rsidP="00DD77CA">
            <w:pPr>
              <w:ind w:left="606" w:hanging="606"/>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6B282EA6" w:rsidRPr="727BFE15">
              <w:rPr>
                <w:rFonts w:ascii="Palatino Linotype" w:eastAsia="Palatino Linotype" w:hAnsi="Palatino Linotype" w:cs="Palatino Linotype"/>
                <w:color w:val="141414"/>
              </w:rPr>
              <w:t>$4,275</w:t>
            </w:r>
            <w:r w:rsidRPr="727BFE15">
              <w:rPr>
                <w:rFonts w:ascii="Palatino Linotype" w:eastAsia="Palatino Linotype" w:hAnsi="Palatino Linotype" w:cs="Palatino Linotype"/>
                <w:color w:val="141414"/>
              </w:rPr>
              <w:t>]</w:t>
            </w:r>
            <w:r w:rsidR="6B282EA6" w:rsidRPr="727BFE15">
              <w:rPr>
                <w:rFonts w:ascii="Palatino Linotype" w:eastAsia="Palatino Linotype" w:hAnsi="Palatino Linotype" w:cs="Palatino Linotype"/>
                <w:color w:val="141414"/>
              </w:rPr>
              <w:t xml:space="preserve"> </w:t>
            </w:r>
          </w:p>
        </w:tc>
      </w:tr>
      <w:tr w:rsidR="65132141" w14:paraId="1CEDB06A" w14:textId="77777777" w:rsidTr="727BFE15">
        <w:trPr>
          <w:trHeight w:val="495"/>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00B17E5" w14:textId="38396631"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Optional </w:t>
            </w:r>
            <w:r w:rsidR="7CEF380B" w:rsidRPr="727BFE15">
              <w:rPr>
                <w:rFonts w:ascii="Palatino Linotype" w:eastAsia="Palatino Linotype" w:hAnsi="Palatino Linotype" w:cs="Palatino Linotype"/>
                <w:color w:val="141414"/>
              </w:rPr>
              <w:t>photovoltaic (</w:t>
            </w:r>
            <w:r w:rsidRPr="727BFE15">
              <w:rPr>
                <w:rFonts w:ascii="Palatino Linotype" w:eastAsia="Palatino Linotype" w:hAnsi="Palatino Linotype" w:cs="Palatino Linotype"/>
                <w:color w:val="141414"/>
              </w:rPr>
              <w:t>PV</w:t>
            </w:r>
            <w:r w:rsidR="7CEF380B" w:rsidRPr="727BFE15">
              <w:rPr>
                <w:rFonts w:ascii="Palatino Linotype" w:eastAsia="Palatino Linotype" w:hAnsi="Palatino Linotype" w:cs="Palatino Linotype"/>
                <w:color w:val="141414"/>
              </w:rPr>
              <w:t>)</w:t>
            </w:r>
            <w:r w:rsidRPr="727BFE15">
              <w:rPr>
                <w:rFonts w:ascii="Palatino Linotype" w:eastAsia="Palatino Linotype" w:hAnsi="Palatino Linotype" w:cs="Palatino Linotype"/>
                <w:color w:val="141414"/>
              </w:rPr>
              <w:t xml:space="preserve"> system</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F823BEF" w14:textId="55F11408" w:rsidR="65132141" w:rsidRDefault="7CEF380B">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3 kW</w:t>
            </w:r>
            <w:r w:rsidRPr="727BFE15">
              <w:rPr>
                <w:rFonts w:ascii="Palatino Linotype" w:eastAsia="Palatino Linotype" w:hAnsi="Palatino Linotype" w:cs="Palatino Linotype"/>
                <w:color w:val="141414"/>
              </w:rPr>
              <w:t>]</w:t>
            </w:r>
          </w:p>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4970F7A1" w14:textId="0A30EADC" w:rsidR="65132141" w:rsidRPr="00FF62ED" w:rsidRDefault="1695B5E2" w:rsidP="6A5D419A">
            <w:pPr>
              <w:ind w:left="606" w:hanging="606"/>
              <w:jc w:val="right"/>
              <w:rPr>
                <w:rFonts w:ascii="Palatino Linotype" w:eastAsia="Palatino Linotype" w:hAnsi="Palatino Linotype" w:cs="Palatino Linotype"/>
                <w:color w:val="141414"/>
              </w:rPr>
            </w:pPr>
            <w:r w:rsidRPr="00FF62ED">
              <w:rPr>
                <w:rFonts w:ascii="Palatino Linotype" w:eastAsia="Palatino Linotype" w:hAnsi="Palatino Linotype" w:cs="Palatino Linotype"/>
                <w:color w:val="141414"/>
              </w:rPr>
              <w:t xml:space="preserve">$9,300 </w:t>
            </w:r>
          </w:p>
        </w:tc>
      </w:tr>
      <w:tr w:rsidR="65132141" w14:paraId="03CA93E3" w14:textId="77777777" w:rsidTr="727BFE15">
        <w:trPr>
          <w:cnfStyle w:val="000000100000" w:firstRow="0" w:lastRow="0" w:firstColumn="0" w:lastColumn="0" w:oddVBand="0" w:evenVBand="0" w:oddHBand="1" w:evenHBand="0" w:firstRowFirstColumn="0" w:firstRowLastColumn="0" w:lastRowFirstColumn="0" w:lastRowLastColumn="0"/>
          <w:trHeight w:val="540"/>
        </w:trPr>
        <w:tc>
          <w:tcPr>
            <w:tcW w:w="437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4601F421" w14:textId="042A5221" w:rsidR="65132141" w:rsidRDefault="1695B5E2">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Optional battery storage system</w:t>
            </w:r>
          </w:p>
        </w:tc>
        <w:tc>
          <w:tcPr>
            <w:tcW w:w="3424"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4AD8FD60" w14:textId="12CC039B" w:rsidR="65132141" w:rsidRDefault="7CEF380B">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w:t>
            </w:r>
            <w:r w:rsidR="05F897C5" w:rsidRPr="727BFE15">
              <w:rPr>
                <w:rFonts w:ascii="Palatino Linotype" w:eastAsia="Palatino Linotype" w:hAnsi="Palatino Linotype" w:cs="Palatino Linotype"/>
                <w:color w:val="141414"/>
              </w:rPr>
              <w:t>Lithium-ion battery</w:t>
            </w:r>
            <w:r w:rsidR="1CFABFAD" w:rsidRPr="727BFE15">
              <w:rPr>
                <w:rFonts w:ascii="Palatino Linotype" w:eastAsia="Palatino Linotype" w:hAnsi="Palatino Linotype" w:cs="Palatino Linotype"/>
                <w:color w:val="141414"/>
              </w:rPr>
              <w:t>, 13.5 kWh</w:t>
            </w:r>
            <w:r w:rsidR="42C3427A" w:rsidRPr="727BFE15">
              <w:rPr>
                <w:rFonts w:ascii="Palatino Linotype" w:eastAsia="Palatino Linotype" w:hAnsi="Palatino Linotype" w:cs="Palatino Linotype"/>
                <w:color w:val="141414"/>
              </w:rPr>
              <w:t>, 10 kW peak power, no sun</w:t>
            </w:r>
            <w:r w:rsidRPr="727BFE15">
              <w:rPr>
                <w:rFonts w:ascii="Palatino Linotype" w:eastAsia="Palatino Linotype" w:hAnsi="Palatino Linotype" w:cs="Palatino Linotype"/>
                <w:color w:val="141414"/>
              </w:rPr>
              <w:t>]</w:t>
            </w:r>
          </w:p>
        </w:tc>
        <w:tc>
          <w:tcPr>
            <w:tcW w:w="1562"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5DE0BF13" w14:textId="0E6BA02E" w:rsidR="65132141" w:rsidRDefault="1695B5E2" w:rsidP="6A5D419A">
            <w:pPr>
              <w:ind w:left="606" w:hanging="606"/>
              <w:jc w:val="right"/>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$10,500</w:t>
            </w:r>
          </w:p>
        </w:tc>
      </w:tr>
    </w:tbl>
    <w:p w14:paraId="0E1ED64A" w14:textId="1DEA0C16" w:rsidR="4C18BD8E" w:rsidRDefault="4C18BD8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 xml:space="preserve"> </w:t>
      </w:r>
    </w:p>
    <w:p w14:paraId="4145D931" w14:textId="2DF68125" w:rsidR="4C18BD8E" w:rsidRDefault="05D0A3D8" w:rsidP="727BFE15">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Table </w:t>
      </w:r>
      <w:r w:rsidR="26A6252C" w:rsidRPr="727BFE15">
        <w:rPr>
          <w:rFonts w:ascii="Palatino Linotype" w:eastAsia="Palatino Linotype" w:hAnsi="Palatino Linotype" w:cs="Palatino Linotype"/>
          <w:b/>
          <w:bCs/>
          <w:color w:val="141414"/>
        </w:rPr>
        <w:t>4</w:t>
      </w:r>
      <w:r w:rsidRPr="727BFE15">
        <w:rPr>
          <w:rFonts w:ascii="Palatino Linotype" w:eastAsia="Palatino Linotype" w:hAnsi="Palatino Linotype" w:cs="Palatino Linotype"/>
          <w:b/>
          <w:bCs/>
          <w:color w:val="141414"/>
        </w:rPr>
        <w:t xml:space="preserve">. Project </w:t>
      </w:r>
      <w:r w:rsidR="201AFB45" w:rsidRPr="727BFE15">
        <w:rPr>
          <w:rFonts w:ascii="Palatino Linotype" w:eastAsia="Palatino Linotype" w:hAnsi="Palatino Linotype" w:cs="Palatino Linotype"/>
          <w:b/>
          <w:bCs/>
          <w:color w:val="141414"/>
        </w:rPr>
        <w:t xml:space="preserve">financial </w:t>
      </w:r>
      <w:r w:rsidR="7CEF380B" w:rsidRPr="727BFE15">
        <w:rPr>
          <w:rFonts w:ascii="Palatino Linotype" w:eastAsia="Palatino Linotype" w:hAnsi="Palatino Linotype" w:cs="Palatino Linotype"/>
          <w:b/>
          <w:bCs/>
          <w:color w:val="141414"/>
        </w:rPr>
        <w:t>p</w:t>
      </w:r>
      <w:r w:rsidRPr="727BFE15">
        <w:rPr>
          <w:rFonts w:ascii="Palatino Linotype" w:eastAsia="Palatino Linotype" w:hAnsi="Palatino Linotype" w:cs="Palatino Linotype"/>
          <w:b/>
          <w:bCs/>
          <w:color w:val="141414"/>
        </w:rPr>
        <w:t xml:space="preserve">ro </w:t>
      </w:r>
      <w:r w:rsidR="7CEF380B" w:rsidRPr="727BFE15">
        <w:rPr>
          <w:rFonts w:ascii="Palatino Linotype" w:eastAsia="Palatino Linotype" w:hAnsi="Palatino Linotype" w:cs="Palatino Linotype"/>
          <w:b/>
          <w:bCs/>
          <w:color w:val="141414"/>
        </w:rPr>
        <w:t>f</w:t>
      </w:r>
      <w:r w:rsidRPr="727BFE15">
        <w:rPr>
          <w:rFonts w:ascii="Palatino Linotype" w:eastAsia="Palatino Linotype" w:hAnsi="Palatino Linotype" w:cs="Palatino Linotype"/>
          <w:b/>
          <w:bCs/>
          <w:color w:val="141414"/>
        </w:rPr>
        <w:t xml:space="preserve">orma </w:t>
      </w:r>
      <w:r w:rsidR="201AFB45" w:rsidRPr="727BFE15">
        <w:rPr>
          <w:rFonts w:ascii="Palatino Linotype" w:eastAsia="Palatino Linotype" w:hAnsi="Palatino Linotype" w:cs="Palatino Linotype"/>
          <w:b/>
          <w:bCs/>
          <w:color w:val="141414"/>
        </w:rPr>
        <w:t>factors and</w:t>
      </w:r>
      <w:r w:rsidRPr="727BFE15">
        <w:rPr>
          <w:rFonts w:ascii="Palatino Linotype" w:eastAsia="Palatino Linotype" w:hAnsi="Palatino Linotype" w:cs="Palatino Linotype"/>
          <w:b/>
          <w:bCs/>
          <w:color w:val="141414"/>
        </w:rPr>
        <w:t xml:space="preserve"> </w:t>
      </w:r>
      <w:r w:rsidR="201AFB45" w:rsidRPr="727BFE15">
        <w:rPr>
          <w:rFonts w:ascii="Palatino Linotype" w:eastAsia="Palatino Linotype" w:hAnsi="Palatino Linotype" w:cs="Palatino Linotype"/>
          <w:b/>
          <w:bCs/>
          <w:color w:val="141414"/>
        </w:rPr>
        <w:t>values</w:t>
      </w:r>
    </w:p>
    <w:tbl>
      <w:tblPr>
        <w:tblStyle w:val="GridTable3-Accent1"/>
        <w:tblW w:w="0" w:type="auto"/>
        <w:tblLayout w:type="fixed"/>
        <w:tblLook w:val="0400" w:firstRow="0" w:lastRow="0" w:firstColumn="0" w:lastColumn="0" w:noHBand="0" w:noVBand="1"/>
      </w:tblPr>
      <w:tblGrid>
        <w:gridCol w:w="4950"/>
        <w:gridCol w:w="1425"/>
      </w:tblGrid>
      <w:tr w:rsidR="005E4E2C" w14:paraId="02784812" w14:textId="77777777" w:rsidTr="00646C7E">
        <w:trPr>
          <w:cnfStyle w:val="000000100000" w:firstRow="0" w:lastRow="0" w:firstColumn="0" w:lastColumn="0" w:oddVBand="0" w:evenVBand="0" w:oddHBand="1" w:evenHBand="0" w:firstRowFirstColumn="0" w:firstRowLastColumn="0" w:lastRowFirstColumn="0" w:lastRowLastColumn="0"/>
          <w:trHeight w:val="480"/>
        </w:trPr>
        <w:tc>
          <w:tcPr>
            <w:tcW w:w="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shd w:val="clear" w:color="auto" w:fill="0AC3EF" w:themeFill="accent1"/>
          </w:tcPr>
          <w:p w14:paraId="7E61043A" w14:textId="74ADAEDA" w:rsidR="005E4E2C" w:rsidRPr="005E4E2C" w:rsidRDefault="201AFB4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Factors</w:t>
            </w:r>
          </w:p>
        </w:tc>
        <w:tc>
          <w:tcPr>
            <w:tcW w:w="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shd w:val="clear" w:color="auto" w:fill="0AC3EF" w:themeFill="accent1"/>
          </w:tcPr>
          <w:p w14:paraId="6AEC3348" w14:textId="725DBBC1" w:rsidR="005E4E2C" w:rsidRPr="005E4E2C" w:rsidRDefault="201AFB45" w:rsidP="6A5D419A">
            <w:pPr>
              <w:jc w:val="right"/>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Amount</w:t>
            </w:r>
          </w:p>
        </w:tc>
      </w:tr>
      <w:tr w:rsidR="65132141" w14:paraId="5D3B9610" w14:textId="77777777" w:rsidTr="727BFE15">
        <w:trPr>
          <w:trHeight w:val="480"/>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23A319F" w14:textId="43DA9B44"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Total </w:t>
            </w:r>
            <w:r w:rsidR="201AFB45" w:rsidRPr="727BFE15">
              <w:rPr>
                <w:rFonts w:ascii="Palatino Linotype" w:eastAsia="Palatino Linotype" w:hAnsi="Palatino Linotype" w:cs="Palatino Linotype"/>
                <w:color w:val="141414"/>
              </w:rPr>
              <w:t>i</w:t>
            </w:r>
            <w:r w:rsidRPr="727BFE15">
              <w:rPr>
                <w:rFonts w:ascii="Palatino Linotype" w:eastAsia="Palatino Linotype" w:hAnsi="Palatino Linotype" w:cs="Palatino Linotype"/>
                <w:color w:val="141414"/>
              </w:rPr>
              <w:t xml:space="preserve">nvestment </w:t>
            </w:r>
            <w:r w:rsidR="201AFB45" w:rsidRPr="727BFE15">
              <w:rPr>
                <w:rFonts w:ascii="Palatino Linotype" w:eastAsia="Palatino Linotype" w:hAnsi="Palatino Linotype" w:cs="Palatino Linotype"/>
                <w:color w:val="141414"/>
              </w:rPr>
              <w:t>per</w:t>
            </w:r>
            <w:r w:rsidRPr="727BFE15">
              <w:rPr>
                <w:rFonts w:ascii="Palatino Linotype" w:eastAsia="Palatino Linotype" w:hAnsi="Palatino Linotype" w:cs="Palatino Linotype"/>
                <w:color w:val="141414"/>
              </w:rPr>
              <w:t xml:space="preserve"> </w:t>
            </w:r>
            <w:r w:rsidR="201AFB45" w:rsidRPr="727BFE15">
              <w:rPr>
                <w:rFonts w:ascii="Palatino Linotype" w:eastAsia="Palatino Linotype" w:hAnsi="Palatino Linotype" w:cs="Palatino Linotype"/>
                <w:color w:val="141414"/>
              </w:rPr>
              <w:t>p</w:t>
            </w:r>
            <w:r w:rsidRPr="727BFE15">
              <w:rPr>
                <w:rFonts w:ascii="Palatino Linotype" w:eastAsia="Palatino Linotype" w:hAnsi="Palatino Linotype" w:cs="Palatino Linotype"/>
                <w:color w:val="141414"/>
              </w:rPr>
              <w:t>roject</w:t>
            </w:r>
            <w:r w:rsidR="201AFB45" w:rsidRPr="727BFE15">
              <w:rPr>
                <w:rFonts w:ascii="Palatino Linotype" w:eastAsia="Palatino Linotype" w:hAnsi="Palatino Linotype" w:cs="Palatino Linotype"/>
                <w:color w:val="141414"/>
              </w:rPr>
              <w:t xml:space="preserve"> </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AEC2397" w14:textId="6519536A" w:rsidR="65132141" w:rsidRPr="00301946" w:rsidRDefault="65132141" w:rsidP="6A5D419A">
            <w:pPr>
              <w:jc w:val="right"/>
              <w:rPr>
                <w:rFonts w:ascii="Palatino Linotype" w:eastAsia="Palatino Linotype" w:hAnsi="Palatino Linotype" w:cs="Palatino Linotype"/>
                <w:color w:val="141414"/>
                <w:highlight w:val="magenta"/>
              </w:rPr>
            </w:pPr>
          </w:p>
        </w:tc>
      </w:tr>
      <w:tr w:rsidR="65132141" w14:paraId="11A1A9A3" w14:textId="77777777" w:rsidTr="727BFE15">
        <w:trPr>
          <w:cnfStyle w:val="000000100000" w:firstRow="0" w:lastRow="0" w:firstColumn="0" w:lastColumn="0" w:oddVBand="0" w:evenVBand="0" w:oddHBand="1" w:evenHBand="0" w:firstRowFirstColumn="0" w:firstRowLastColumn="0" w:lastRowFirstColumn="0" w:lastRowLastColumn="0"/>
          <w:trHeight w:val="480"/>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BF97AD0" w14:textId="623F9132" w:rsidR="65132141" w:rsidRDefault="1695B5E2">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Project useful life</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8414678" w14:textId="17A1FC73" w:rsidR="65132141" w:rsidRPr="00FF62ED" w:rsidRDefault="65132141" w:rsidP="6A5D419A">
            <w:pPr>
              <w:jc w:val="right"/>
              <w:rPr>
                <w:rFonts w:ascii="Palatino Linotype" w:eastAsia="Palatino Linotype" w:hAnsi="Palatino Linotype" w:cs="Palatino Linotype"/>
                <w:color w:val="141414"/>
                <w:highlight w:val="magenta"/>
              </w:rPr>
            </w:pPr>
          </w:p>
        </w:tc>
      </w:tr>
      <w:tr w:rsidR="65132141" w14:paraId="4DD1E9D4" w14:textId="77777777" w:rsidTr="727BFE15">
        <w:trPr>
          <w:trHeight w:val="480"/>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A657A80" w14:textId="2674D23A" w:rsidR="65132141" w:rsidRDefault="1695B5E2">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Annual bill savings</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C43DF0A" w14:textId="3C5E93AE" w:rsidR="65132141" w:rsidRPr="00301946" w:rsidRDefault="65132141" w:rsidP="6A5D419A">
            <w:pPr>
              <w:jc w:val="right"/>
              <w:rPr>
                <w:rFonts w:ascii="Palatino Linotype" w:eastAsia="Palatino Linotype" w:hAnsi="Palatino Linotype" w:cs="Palatino Linotype"/>
                <w:color w:val="141414"/>
                <w:highlight w:val="magenta"/>
              </w:rPr>
            </w:pPr>
          </w:p>
        </w:tc>
      </w:tr>
      <w:tr w:rsidR="65132141" w14:paraId="27043D5B" w14:textId="77777777" w:rsidTr="727BFE15">
        <w:trPr>
          <w:cnfStyle w:val="000000100000" w:firstRow="0" w:lastRow="0" w:firstColumn="0" w:lastColumn="0" w:oddVBand="0" w:evenVBand="0" w:oddHBand="1" w:evenHBand="0" w:firstRowFirstColumn="0" w:firstRowLastColumn="0" w:lastRowFirstColumn="0" w:lastRowLastColumn="0"/>
          <w:trHeight w:val="480"/>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59A8E713" w14:textId="151E5707"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TOB contribution </w:t>
            </w:r>
            <w:r w:rsidR="201AFB45" w:rsidRPr="727BFE15">
              <w:rPr>
                <w:rFonts w:ascii="Palatino Linotype" w:eastAsia="Palatino Linotype" w:hAnsi="Palatino Linotype" w:cs="Palatino Linotype"/>
                <w:color w:val="141414"/>
              </w:rPr>
              <w:t>per p</w:t>
            </w:r>
            <w:r w:rsidRPr="727BFE15">
              <w:rPr>
                <w:rFonts w:ascii="Palatino Linotype" w:eastAsia="Palatino Linotype" w:hAnsi="Palatino Linotype" w:cs="Palatino Linotype"/>
                <w:color w:val="141414"/>
              </w:rPr>
              <w:t>roject</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84B0BF2" w14:textId="13545421" w:rsidR="65132141" w:rsidRPr="009623AA" w:rsidRDefault="65132141" w:rsidP="6A5D419A">
            <w:pPr>
              <w:jc w:val="right"/>
              <w:rPr>
                <w:rFonts w:ascii="Palatino Linotype" w:eastAsia="Palatino Linotype" w:hAnsi="Palatino Linotype" w:cs="Palatino Linotype"/>
                <w:color w:val="141414"/>
                <w:highlight w:val="magenta"/>
              </w:rPr>
            </w:pPr>
          </w:p>
        </w:tc>
      </w:tr>
      <w:tr w:rsidR="65132141" w14:paraId="29D1EDF6" w14:textId="77777777" w:rsidTr="727BFE15">
        <w:trPr>
          <w:trHeight w:val="480"/>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A73CC25" w14:textId="4F5F0795" w:rsidR="65132141" w:rsidRDefault="1695B5E2">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TOB monthly service charge</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821714E" w14:textId="252C2844" w:rsidR="65132141" w:rsidRPr="009623AA" w:rsidRDefault="65132141" w:rsidP="6A5D419A">
            <w:pPr>
              <w:jc w:val="right"/>
              <w:rPr>
                <w:rFonts w:ascii="Palatino Linotype" w:eastAsia="Palatino Linotype" w:hAnsi="Palatino Linotype" w:cs="Palatino Linotype"/>
                <w:color w:val="141414"/>
                <w:highlight w:val="magenta"/>
              </w:rPr>
            </w:pPr>
          </w:p>
        </w:tc>
      </w:tr>
      <w:tr w:rsidR="65132141" w14:paraId="117458FC" w14:textId="77777777" w:rsidTr="727BFE15">
        <w:trPr>
          <w:cnfStyle w:val="000000100000" w:firstRow="0" w:lastRow="0" w:firstColumn="0" w:lastColumn="0" w:oddVBand="0" w:evenVBand="0" w:oddHBand="1" w:evenHBand="0" w:firstRowFirstColumn="0" w:firstRowLastColumn="0" w:lastRowFirstColumn="0" w:lastRowLastColumn="0"/>
          <w:trHeight w:val="480"/>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8A15529" w14:textId="0DB45A72" w:rsidR="65132141" w:rsidRDefault="1695B5E2">
            <w:pPr>
              <w:rPr>
                <w:rFonts w:ascii="Palatino Linotype" w:eastAsia="Palatino Linotype" w:hAnsi="Palatino Linotype" w:cs="Palatino Linotype"/>
                <w:b/>
                <w:bCs/>
                <w:color w:val="141414"/>
              </w:rPr>
            </w:pPr>
            <w:r w:rsidRPr="6A5D419A">
              <w:rPr>
                <w:rFonts w:ascii="Palatino Linotype" w:eastAsia="Palatino Linotype" w:hAnsi="Palatino Linotype" w:cs="Palatino Linotype"/>
                <w:b/>
                <w:bCs/>
                <w:color w:val="141414"/>
              </w:rPr>
              <w:t>Customer's net annual savings</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2D4E85D" w14:textId="2A118DF9" w:rsidR="65132141" w:rsidRPr="00301946" w:rsidRDefault="65132141" w:rsidP="6A5D419A">
            <w:pPr>
              <w:jc w:val="right"/>
              <w:rPr>
                <w:rFonts w:ascii="Palatino Linotype" w:eastAsia="Palatino Linotype" w:hAnsi="Palatino Linotype" w:cs="Palatino Linotype"/>
                <w:b/>
                <w:bCs/>
                <w:color w:val="141414"/>
                <w:highlight w:val="magenta"/>
              </w:rPr>
            </w:pPr>
          </w:p>
        </w:tc>
      </w:tr>
      <w:tr w:rsidR="65132141" w14:paraId="73FF5110" w14:textId="77777777" w:rsidTr="727BFE15">
        <w:trPr>
          <w:trHeight w:val="525"/>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5E6D9E76" w14:textId="7AC64E17"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Utility incentive </w:t>
            </w:r>
            <w:r w:rsidR="201AFB45" w:rsidRPr="727BFE15">
              <w:rPr>
                <w:rFonts w:ascii="Palatino Linotype" w:eastAsia="Palatino Linotype" w:hAnsi="Palatino Linotype" w:cs="Palatino Linotype"/>
                <w:color w:val="141414"/>
              </w:rPr>
              <w:t xml:space="preserve">per </w:t>
            </w:r>
            <w:r w:rsidRPr="727BFE15">
              <w:rPr>
                <w:rFonts w:ascii="Palatino Linotype" w:eastAsia="Palatino Linotype" w:hAnsi="Palatino Linotype" w:cs="Palatino Linotype"/>
                <w:color w:val="141414"/>
              </w:rPr>
              <w:t>project</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A429170" w14:textId="7E80580E" w:rsidR="65132141" w:rsidRPr="009623AA" w:rsidRDefault="65132141" w:rsidP="6A5D419A">
            <w:pPr>
              <w:jc w:val="right"/>
              <w:rPr>
                <w:rFonts w:ascii="Palatino Linotype" w:eastAsia="Palatino Linotype" w:hAnsi="Palatino Linotype" w:cs="Palatino Linotype"/>
                <w:color w:val="141414"/>
                <w:highlight w:val="magenta"/>
              </w:rPr>
            </w:pPr>
          </w:p>
        </w:tc>
      </w:tr>
      <w:tr w:rsidR="00F26AF8" w14:paraId="5E889E99" w14:textId="77777777" w:rsidTr="727BFE15">
        <w:trPr>
          <w:cnfStyle w:val="000000100000" w:firstRow="0" w:lastRow="0" w:firstColumn="0" w:lastColumn="0" w:oddVBand="0" w:evenVBand="0" w:oddHBand="1" w:evenHBand="0" w:firstRowFirstColumn="0" w:firstRowLastColumn="0" w:lastRowFirstColumn="0" w:lastRowLastColumn="0"/>
          <w:trHeight w:val="480"/>
        </w:trPr>
        <w:tc>
          <w:tcPr>
            <w:tcW w:w="495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572AC090" w14:textId="7B1B9DB8" w:rsidR="00F26AF8" w:rsidRDefault="00F26AF8" w:rsidP="00F26AF8">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Avoided like-for-like replacement cost</w:t>
            </w:r>
          </w:p>
        </w:tc>
        <w:tc>
          <w:tcPr>
            <w:tcW w:w="1425"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1ABDBDC" w14:textId="1CBEFFAF" w:rsidR="00F26AF8" w:rsidRPr="009623AA" w:rsidRDefault="00F26AF8" w:rsidP="00F26AF8">
            <w:pPr>
              <w:jc w:val="right"/>
              <w:rPr>
                <w:rFonts w:ascii="Palatino Linotype" w:eastAsia="Palatino Linotype" w:hAnsi="Palatino Linotype" w:cs="Palatino Linotype"/>
                <w:color w:val="141414"/>
                <w:highlight w:val="magenta"/>
              </w:rPr>
            </w:pPr>
          </w:p>
        </w:tc>
      </w:tr>
    </w:tbl>
    <w:p w14:paraId="5BD8AC0C" w14:textId="189D243E" w:rsidR="4C18BD8E" w:rsidRDefault="05D0A3D8">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 </w:t>
      </w:r>
    </w:p>
    <w:p w14:paraId="5F8413B9" w14:textId="77777777" w:rsidR="0085166F" w:rsidRDefault="0085166F">
      <w:pPr>
        <w:rPr>
          <w:rFonts w:ascii="Palatino Linotype" w:eastAsia="Palatino Linotype" w:hAnsi="Palatino Linotype" w:cs="Palatino Linotype"/>
          <w:color w:val="141414"/>
        </w:rPr>
      </w:pPr>
    </w:p>
    <w:p w14:paraId="6689EA0A" w14:textId="2C82FC56" w:rsidR="4C18BD8E" w:rsidRDefault="05D0A3D8">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Table </w:t>
      </w:r>
      <w:r w:rsidR="26A6252C" w:rsidRPr="727BFE15">
        <w:rPr>
          <w:rFonts w:ascii="Palatino Linotype" w:eastAsia="Palatino Linotype" w:hAnsi="Palatino Linotype" w:cs="Palatino Linotype"/>
          <w:b/>
          <w:bCs/>
          <w:color w:val="141414"/>
        </w:rPr>
        <w:t>5</w:t>
      </w:r>
      <w:r w:rsidRPr="727BFE15">
        <w:rPr>
          <w:rFonts w:ascii="Palatino Linotype" w:eastAsia="Palatino Linotype" w:hAnsi="Palatino Linotype" w:cs="Palatino Linotype"/>
          <w:b/>
          <w:bCs/>
          <w:color w:val="141414"/>
        </w:rPr>
        <w:t xml:space="preserve">. </w:t>
      </w:r>
      <w:r w:rsidR="02B8F00D" w:rsidRPr="727BFE15">
        <w:rPr>
          <w:rFonts w:ascii="Palatino Linotype" w:eastAsia="Palatino Linotype" w:hAnsi="Palatino Linotype" w:cs="Palatino Linotype"/>
          <w:b/>
          <w:bCs/>
          <w:color w:val="141414"/>
        </w:rPr>
        <w:t>Program Sponsor’s f</w:t>
      </w:r>
      <w:r w:rsidR="3987859D" w:rsidRPr="727BFE15">
        <w:rPr>
          <w:rFonts w:ascii="Palatino Linotype" w:eastAsia="Palatino Linotype" w:hAnsi="Palatino Linotype" w:cs="Palatino Linotype"/>
          <w:b/>
          <w:bCs/>
          <w:color w:val="141414"/>
        </w:rPr>
        <w:t xml:space="preserve">unding </w:t>
      </w:r>
      <w:r w:rsidR="02B8F00D" w:rsidRPr="727BFE15">
        <w:rPr>
          <w:rFonts w:ascii="Palatino Linotype" w:eastAsia="Palatino Linotype" w:hAnsi="Palatino Linotype" w:cs="Palatino Linotype"/>
          <w:b/>
          <w:bCs/>
          <w:color w:val="141414"/>
        </w:rPr>
        <w:t>r</w:t>
      </w:r>
      <w:r w:rsidR="3987859D" w:rsidRPr="727BFE15">
        <w:rPr>
          <w:rFonts w:ascii="Palatino Linotype" w:eastAsia="Palatino Linotype" w:hAnsi="Palatino Linotype" w:cs="Palatino Linotype"/>
          <w:b/>
          <w:bCs/>
          <w:color w:val="141414"/>
        </w:rPr>
        <w:t xml:space="preserve">equest for </w:t>
      </w:r>
      <w:r w:rsidR="02B8F00D" w:rsidRPr="727BFE15">
        <w:rPr>
          <w:rFonts w:ascii="Palatino Linotype" w:eastAsia="Palatino Linotype" w:hAnsi="Palatino Linotype" w:cs="Palatino Linotype"/>
          <w:b/>
          <w:bCs/>
          <w:color w:val="141414"/>
        </w:rPr>
        <w:t>c</w:t>
      </w:r>
      <w:r w:rsidR="3987859D" w:rsidRPr="727BFE15">
        <w:rPr>
          <w:rFonts w:ascii="Palatino Linotype" w:eastAsia="Palatino Linotype" w:hAnsi="Palatino Linotype" w:cs="Palatino Linotype"/>
          <w:b/>
          <w:bCs/>
          <w:color w:val="141414"/>
        </w:rPr>
        <w:t xml:space="preserve">apital and </w:t>
      </w:r>
      <w:r w:rsidR="02B8F00D" w:rsidRPr="727BFE15">
        <w:rPr>
          <w:rFonts w:ascii="Palatino Linotype" w:eastAsia="Palatino Linotype" w:hAnsi="Palatino Linotype" w:cs="Palatino Linotype"/>
          <w:b/>
          <w:bCs/>
          <w:color w:val="141414"/>
        </w:rPr>
        <w:t>p</w:t>
      </w:r>
      <w:r w:rsidRPr="727BFE15">
        <w:rPr>
          <w:rFonts w:ascii="Palatino Linotype" w:eastAsia="Palatino Linotype" w:hAnsi="Palatino Linotype" w:cs="Palatino Linotype"/>
          <w:b/>
          <w:bCs/>
          <w:color w:val="141414"/>
        </w:rPr>
        <w:t xml:space="preserve">rogram </w:t>
      </w:r>
      <w:r w:rsidR="02B8F00D" w:rsidRPr="727BFE15">
        <w:rPr>
          <w:rFonts w:ascii="Palatino Linotype" w:eastAsia="Palatino Linotype" w:hAnsi="Palatino Linotype" w:cs="Palatino Linotype"/>
          <w:b/>
          <w:bCs/>
          <w:color w:val="141414"/>
        </w:rPr>
        <w:t>o</w:t>
      </w:r>
      <w:r w:rsidRPr="727BFE15">
        <w:rPr>
          <w:rFonts w:ascii="Palatino Linotype" w:eastAsia="Palatino Linotype" w:hAnsi="Palatino Linotype" w:cs="Palatino Linotype"/>
          <w:b/>
          <w:bCs/>
          <w:color w:val="141414"/>
        </w:rPr>
        <w:t>perations</w:t>
      </w:r>
    </w:p>
    <w:tbl>
      <w:tblPr>
        <w:tblStyle w:val="GridTable4-Accent1"/>
        <w:tblW w:w="0" w:type="auto"/>
        <w:tblLayout w:type="fixed"/>
        <w:tblLook w:val="0400" w:firstRow="0" w:lastRow="0" w:firstColumn="0" w:lastColumn="0" w:noHBand="0" w:noVBand="1"/>
      </w:tblPr>
      <w:tblGrid>
        <w:gridCol w:w="4140"/>
        <w:gridCol w:w="1620"/>
      </w:tblGrid>
      <w:tr w:rsidR="0085166F" w14:paraId="676F8E4E" w14:textId="77777777" w:rsidTr="00646C7E">
        <w:trPr>
          <w:cnfStyle w:val="000000100000" w:firstRow="0" w:lastRow="0" w:firstColumn="0" w:lastColumn="0" w:oddVBand="0" w:evenVBand="0" w:oddHBand="1" w:evenHBand="0" w:firstRowFirstColumn="0" w:firstRowLastColumn="0" w:lastRowFirstColumn="0" w:lastRowLastColumn="0"/>
        </w:trPr>
        <w:tc>
          <w:tcPr>
            <w:tcW w:w="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shd w:val="clear" w:color="auto" w:fill="0AC3EF" w:themeFill="accent1"/>
          </w:tcPr>
          <w:p w14:paraId="19BF8816" w14:textId="6E46ECB7" w:rsidR="0085166F" w:rsidRPr="0085166F" w:rsidRDefault="02B8F00D">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Budget line item</w:t>
            </w:r>
          </w:p>
        </w:tc>
        <w:tc>
          <w:tcPr>
            <w:tcW w:w="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shd w:val="clear" w:color="auto" w:fill="0AC3EF" w:themeFill="accent1"/>
          </w:tcPr>
          <w:p w14:paraId="63D46D3C" w14:textId="1C7CED4A" w:rsidR="0085166F" w:rsidRPr="0085166F" w:rsidRDefault="02B8F00D" w:rsidP="6A5D419A">
            <w:pPr>
              <w:jc w:val="right"/>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Amount</w:t>
            </w:r>
          </w:p>
        </w:tc>
      </w:tr>
      <w:tr w:rsidR="65132141" w14:paraId="507D192A" w14:textId="77777777" w:rsidTr="727BFE15">
        <w:tc>
          <w:tcPr>
            <w:tcW w:w="414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328D5BF" w14:textId="2F6F4360" w:rsidR="65132141" w:rsidRDefault="1695B5E2">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Cost of capital @ 3%</w:t>
            </w:r>
          </w:p>
        </w:tc>
        <w:tc>
          <w:tcPr>
            <w:tcW w:w="162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AFAD823" w14:textId="63DE1590" w:rsidR="65132141" w:rsidRPr="009623AA" w:rsidRDefault="65132141" w:rsidP="6A5D419A">
            <w:pPr>
              <w:jc w:val="right"/>
              <w:rPr>
                <w:rFonts w:ascii="Palatino Linotype" w:eastAsia="Palatino Linotype" w:hAnsi="Palatino Linotype" w:cs="Palatino Linotype"/>
                <w:color w:val="141414"/>
                <w:highlight w:val="magenta"/>
              </w:rPr>
            </w:pPr>
          </w:p>
        </w:tc>
      </w:tr>
      <w:tr w:rsidR="65132141" w14:paraId="2BE0C60C" w14:textId="77777777" w:rsidTr="727BFE15">
        <w:trPr>
          <w:cnfStyle w:val="000000100000" w:firstRow="0" w:lastRow="0" w:firstColumn="0" w:lastColumn="0" w:oddVBand="0" w:evenVBand="0" w:oddHBand="1" w:evenHBand="0" w:firstRowFirstColumn="0" w:firstRowLastColumn="0" w:lastRowFirstColumn="0" w:lastRowLastColumn="0"/>
        </w:trPr>
        <w:tc>
          <w:tcPr>
            <w:tcW w:w="414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96D1140" w14:textId="06E890CA"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Start-up</w:t>
            </w:r>
            <w:r w:rsidR="1C141CA2" w:rsidRPr="727BFE15">
              <w:rPr>
                <w:rFonts w:ascii="Palatino Linotype" w:eastAsia="Palatino Linotype" w:hAnsi="Palatino Linotype" w:cs="Palatino Linotype"/>
                <w:color w:val="141414"/>
              </w:rPr>
              <w:t xml:space="preserve"> costs</w:t>
            </w:r>
          </w:p>
        </w:tc>
        <w:tc>
          <w:tcPr>
            <w:tcW w:w="162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3BD525D7" w14:textId="59EE20D5" w:rsidR="65132141" w:rsidRPr="009623AA" w:rsidRDefault="65132141" w:rsidP="6A5D419A">
            <w:pPr>
              <w:jc w:val="right"/>
              <w:rPr>
                <w:rFonts w:ascii="Palatino Linotype" w:eastAsia="Palatino Linotype" w:hAnsi="Palatino Linotype" w:cs="Palatino Linotype"/>
                <w:color w:val="141414"/>
                <w:highlight w:val="magenta"/>
              </w:rPr>
            </w:pPr>
          </w:p>
        </w:tc>
      </w:tr>
      <w:tr w:rsidR="65132141" w14:paraId="2FA17335" w14:textId="77777777" w:rsidTr="727BFE15">
        <w:tc>
          <w:tcPr>
            <w:tcW w:w="414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9935595" w14:textId="6D88327D"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Risk </w:t>
            </w:r>
            <w:r w:rsidR="02B8F00D" w:rsidRPr="727BFE15">
              <w:rPr>
                <w:rFonts w:ascii="Palatino Linotype" w:eastAsia="Palatino Linotype" w:hAnsi="Palatino Linotype" w:cs="Palatino Linotype"/>
                <w:color w:val="141414"/>
              </w:rPr>
              <w:t>m</w:t>
            </w:r>
            <w:r w:rsidRPr="727BFE15">
              <w:rPr>
                <w:rFonts w:ascii="Palatino Linotype" w:eastAsia="Palatino Linotype" w:hAnsi="Palatino Linotype" w:cs="Palatino Linotype"/>
                <w:color w:val="141414"/>
              </w:rPr>
              <w:t>itigation</w:t>
            </w:r>
            <w:r w:rsidR="02B8F00D" w:rsidRPr="727BFE15">
              <w:rPr>
                <w:rFonts w:ascii="Palatino Linotype" w:eastAsia="Palatino Linotype" w:hAnsi="Palatino Linotype" w:cs="Palatino Linotype"/>
                <w:color w:val="141414"/>
              </w:rPr>
              <w:t xml:space="preserve"> costs </w:t>
            </w:r>
            <w:r w:rsidR="02B8F00D" w:rsidRPr="727BFE15">
              <w:rPr>
                <w:rFonts w:ascii="Palatino Linotype" w:eastAsia="Palatino Linotype" w:hAnsi="Palatino Linotype" w:cs="Palatino Linotype"/>
                <w:i/>
                <w:iCs/>
                <w:color w:val="141414"/>
                <w:sz w:val="19"/>
                <w:szCs w:val="19"/>
              </w:rPr>
              <w:t>[provide brief explanation below]</w:t>
            </w:r>
          </w:p>
        </w:tc>
        <w:tc>
          <w:tcPr>
            <w:tcW w:w="162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5E9C7D7" w14:textId="1F6E7E52" w:rsidR="65132141" w:rsidRPr="009623AA" w:rsidRDefault="65132141" w:rsidP="6A5D419A">
            <w:pPr>
              <w:jc w:val="right"/>
              <w:rPr>
                <w:rFonts w:ascii="Palatino Linotype" w:eastAsia="Palatino Linotype" w:hAnsi="Palatino Linotype" w:cs="Palatino Linotype"/>
                <w:color w:val="141414"/>
                <w:highlight w:val="magenta"/>
              </w:rPr>
            </w:pPr>
          </w:p>
        </w:tc>
      </w:tr>
      <w:tr w:rsidR="65132141" w14:paraId="7FCEE741" w14:textId="77777777" w:rsidTr="727BFE15">
        <w:trPr>
          <w:cnfStyle w:val="000000100000" w:firstRow="0" w:lastRow="0" w:firstColumn="0" w:lastColumn="0" w:oddVBand="0" w:evenVBand="0" w:oddHBand="1" w:evenHBand="0" w:firstRowFirstColumn="0" w:firstRowLastColumn="0" w:lastRowFirstColumn="0" w:lastRowLastColumn="0"/>
        </w:trPr>
        <w:tc>
          <w:tcPr>
            <w:tcW w:w="414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69DCC4AA" w14:textId="01440A56" w:rsidR="65132141" w:rsidRDefault="05F897C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Program </w:t>
            </w:r>
            <w:r w:rsidR="02B8F00D" w:rsidRPr="727BFE15">
              <w:rPr>
                <w:rFonts w:ascii="Palatino Linotype" w:eastAsia="Palatino Linotype" w:hAnsi="Palatino Linotype" w:cs="Palatino Linotype"/>
                <w:color w:val="141414"/>
              </w:rPr>
              <w:t>o</w:t>
            </w:r>
            <w:r w:rsidRPr="727BFE15">
              <w:rPr>
                <w:rFonts w:ascii="Palatino Linotype" w:eastAsia="Palatino Linotype" w:hAnsi="Palatino Linotype" w:cs="Palatino Linotype"/>
                <w:color w:val="141414"/>
              </w:rPr>
              <w:t>perations (2 years)</w:t>
            </w:r>
          </w:p>
        </w:tc>
        <w:tc>
          <w:tcPr>
            <w:tcW w:w="162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A508382" w14:textId="6CF0DBB0" w:rsidR="65132141" w:rsidRPr="009623AA" w:rsidRDefault="65132141" w:rsidP="6A5D419A">
            <w:pPr>
              <w:jc w:val="right"/>
              <w:rPr>
                <w:rFonts w:ascii="Palatino Linotype" w:eastAsia="Palatino Linotype" w:hAnsi="Palatino Linotype" w:cs="Palatino Linotype"/>
                <w:color w:val="141414"/>
                <w:highlight w:val="magenta"/>
              </w:rPr>
            </w:pPr>
          </w:p>
        </w:tc>
      </w:tr>
      <w:tr w:rsidR="65132141" w14:paraId="3618B21A" w14:textId="77777777" w:rsidTr="727BFE15">
        <w:tc>
          <w:tcPr>
            <w:tcW w:w="414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2EA6133A" w14:textId="153FCF6D" w:rsidR="65132141" w:rsidRDefault="1695B5E2">
            <w:pPr>
              <w:rPr>
                <w:rFonts w:ascii="Palatino Linotype" w:eastAsia="Palatino Linotype" w:hAnsi="Palatino Linotype" w:cs="Palatino Linotype"/>
                <w:b/>
                <w:bCs/>
                <w:color w:val="141414"/>
              </w:rPr>
            </w:pPr>
            <w:r w:rsidRPr="6A5D419A">
              <w:rPr>
                <w:rFonts w:ascii="Palatino Linotype" w:eastAsia="Palatino Linotype" w:hAnsi="Palatino Linotype" w:cs="Palatino Linotype"/>
                <w:b/>
                <w:bCs/>
                <w:color w:val="141414"/>
              </w:rPr>
              <w:t>Total</w:t>
            </w:r>
          </w:p>
        </w:tc>
        <w:tc>
          <w:tcPr>
            <w:tcW w:w="162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7346C878" w14:textId="6F28EF36" w:rsidR="65132141" w:rsidRPr="009623AA" w:rsidRDefault="65132141" w:rsidP="6A5D419A">
            <w:pPr>
              <w:jc w:val="right"/>
              <w:rPr>
                <w:rFonts w:ascii="Palatino Linotype" w:eastAsia="Palatino Linotype" w:hAnsi="Palatino Linotype" w:cs="Palatino Linotype"/>
                <w:b/>
                <w:bCs/>
                <w:color w:val="141414"/>
                <w:highlight w:val="magenta"/>
              </w:rPr>
            </w:pPr>
          </w:p>
        </w:tc>
      </w:tr>
      <w:tr w:rsidR="00230372" w14:paraId="14C89DA5" w14:textId="77777777" w:rsidTr="727BFE15">
        <w:trPr>
          <w:cnfStyle w:val="000000100000" w:firstRow="0" w:lastRow="0" w:firstColumn="0" w:lastColumn="0" w:oddVBand="0" w:evenVBand="0" w:oddHBand="1" w:evenHBand="0" w:firstRowFirstColumn="0" w:firstRowLastColumn="0" w:lastRowFirstColumn="0" w:lastRowLastColumn="0"/>
        </w:trPr>
        <w:tc>
          <w:tcPr>
            <w:tcW w:w="414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19E05630" w14:textId="579458B6" w:rsidR="00230372" w:rsidRDefault="02B8F00D" w:rsidP="00230372">
            <w:pPr>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F</w:t>
            </w:r>
            <w:r w:rsidR="11BF50AE" w:rsidRPr="727BFE15">
              <w:rPr>
                <w:rFonts w:ascii="Palatino Linotype" w:eastAsia="Palatino Linotype" w:hAnsi="Palatino Linotype" w:cs="Palatino Linotype"/>
                <w:b/>
                <w:bCs/>
                <w:color w:val="141414"/>
              </w:rPr>
              <w:t>unding request</w:t>
            </w:r>
          </w:p>
        </w:tc>
        <w:tc>
          <w:tcPr>
            <w:tcW w:w="1620" w:type="dxa"/>
            <w:tcBorders>
              <w:top w:val="single" w:sz="8" w:space="0" w:color="68DDF8" w:themeColor="accent1" w:themeTint="99"/>
              <w:left w:val="single" w:sz="8" w:space="0" w:color="68DDF8" w:themeColor="accent1" w:themeTint="99"/>
              <w:bottom w:val="single" w:sz="8" w:space="0" w:color="68DDF8" w:themeColor="accent1" w:themeTint="99"/>
              <w:right w:val="single" w:sz="8" w:space="0" w:color="68DDF8" w:themeColor="accent1" w:themeTint="99"/>
            </w:tcBorders>
          </w:tcPr>
          <w:p w14:paraId="001BFF75" w14:textId="63A84E1A" w:rsidR="00230372" w:rsidRDefault="00230372" w:rsidP="00230372">
            <w:pPr>
              <w:jc w:val="right"/>
              <w:rPr>
                <w:rFonts w:ascii="Palatino Linotype" w:eastAsia="Palatino Linotype" w:hAnsi="Palatino Linotype" w:cs="Palatino Linotype"/>
                <w:b/>
                <w:bCs/>
                <w:color w:val="141414"/>
              </w:rPr>
            </w:pPr>
          </w:p>
        </w:tc>
      </w:tr>
    </w:tbl>
    <w:p w14:paraId="17CB9602" w14:textId="754502E7" w:rsidR="65132141" w:rsidRDefault="4C18BD8E" w:rsidP="65132141">
      <w:pPr>
        <w:rPr>
          <w:rFonts w:ascii="Palatino Linotype" w:eastAsia="Palatino Linotype" w:hAnsi="Palatino Linotype"/>
          <w:color w:val="141414"/>
          <w:highlight w:val="cyan"/>
        </w:rPr>
      </w:pPr>
      <w:r>
        <w:br/>
      </w:r>
    </w:p>
    <w:p w14:paraId="0B36292B" w14:textId="38FA6F89" w:rsidR="009316E7" w:rsidRDefault="77377470" w:rsidP="009316E7">
      <w:pPr>
        <w:pStyle w:val="Heading2"/>
      </w:pPr>
      <w:bookmarkStart w:id="12" w:name="_Toc98921601"/>
      <w:r>
        <w:t>Alignment with ESJ</w:t>
      </w:r>
      <w:r w:rsidR="02B8F00D">
        <w:t xml:space="preserve"> Action</w:t>
      </w:r>
      <w:r>
        <w:t xml:space="preserve"> Plan Goals</w:t>
      </w:r>
      <w:bookmarkEnd w:id="12"/>
    </w:p>
    <w:p w14:paraId="799DE958" w14:textId="2040E3F0" w:rsidR="0085166F" w:rsidRDefault="02B8F00D" w:rsidP="727BFE15">
      <w:pPr>
        <w:rPr>
          <w:i/>
          <w:iCs/>
        </w:rPr>
      </w:pPr>
      <w:r w:rsidRPr="727BFE15">
        <w:rPr>
          <w:i/>
          <w:iCs/>
        </w:rPr>
        <w:t>From the CPUC:</w:t>
      </w:r>
    </w:p>
    <w:p w14:paraId="09419347" w14:textId="617AD447" w:rsidR="0085166F" w:rsidRDefault="02B8F00D" w:rsidP="727BFE15">
      <w:pPr>
        <w:rPr>
          <w:i/>
          <w:iCs/>
        </w:rPr>
      </w:pPr>
      <w:r w:rsidRPr="727BFE15">
        <w:rPr>
          <w:i/>
          <w:iCs/>
        </w:rPr>
        <w:t>Describe with specificity how this proposal meets each of the nine goals of the CPUC’s Environmental and Social Justice Action (ESJ) Plan. If it is unable to meet any of the nine goals, the proposal must explain why.</w:t>
      </w:r>
    </w:p>
    <w:p w14:paraId="402E93EA" w14:textId="4099DE33" w:rsidR="00AF1D77" w:rsidRDefault="5AE4EC7F" w:rsidP="727BFE15">
      <w:pPr>
        <w:rPr>
          <w:i/>
          <w:iCs/>
        </w:rPr>
      </w:pPr>
      <w:r w:rsidRPr="727BFE15">
        <w:rPr>
          <w:i/>
          <w:iCs/>
        </w:rPr>
        <w:t>From TECH Clean California:</w:t>
      </w:r>
    </w:p>
    <w:p w14:paraId="69EE1B99" w14:textId="7F8C20CF" w:rsidR="00AF1D77" w:rsidRPr="0085166F" w:rsidRDefault="5AE4EC7F" w:rsidP="727BFE15">
      <w:pPr>
        <w:rPr>
          <w:i/>
          <w:iCs/>
        </w:rPr>
      </w:pPr>
      <w:r w:rsidRPr="727BFE15">
        <w:rPr>
          <w:i/>
          <w:iCs/>
        </w:rPr>
        <w:t xml:space="preserve">The description below each goal offers </w:t>
      </w:r>
      <w:r w:rsidR="1921E5AF" w:rsidRPr="727BFE15">
        <w:rPr>
          <w:i/>
          <w:iCs/>
        </w:rPr>
        <w:t xml:space="preserve">placeholder </w:t>
      </w:r>
      <w:r w:rsidRPr="727BFE15">
        <w:rPr>
          <w:i/>
          <w:iCs/>
        </w:rPr>
        <w:t>language</w:t>
      </w:r>
      <w:r w:rsidR="1921E5AF" w:rsidRPr="727BFE15">
        <w:rPr>
          <w:i/>
          <w:iCs/>
        </w:rPr>
        <w:t xml:space="preserve"> that</w:t>
      </w:r>
      <w:r w:rsidRPr="727BFE15">
        <w:rPr>
          <w:i/>
          <w:iCs/>
        </w:rPr>
        <w:t xml:space="preserve"> Program Sponsors can consider in linking Program-specific plans to ESJ goals.</w:t>
      </w:r>
      <w:r w:rsidR="1921E5AF" w:rsidRPr="727BFE15">
        <w:rPr>
          <w:i/>
          <w:iCs/>
        </w:rPr>
        <w:t xml:space="preserve"> Program Sponsors should adapt this language to align with their own objectives.</w:t>
      </w:r>
      <w:r w:rsidRPr="727BFE15">
        <w:rPr>
          <w:i/>
          <w:iCs/>
        </w:rPr>
        <w:t xml:space="preserve">  </w:t>
      </w:r>
    </w:p>
    <w:p w14:paraId="7FDBCC9E" w14:textId="1E7E981A" w:rsidR="0023553F" w:rsidRDefault="0023553F" w:rsidP="0041651B">
      <w:pPr>
        <w:pStyle w:val="Heading3"/>
      </w:pPr>
      <w:r>
        <w:t>Goal 1: Consistently integrate equity and access considerations throughout CPUC proceedings and other efforts</w:t>
      </w:r>
    </w:p>
    <w:p w14:paraId="55C7AACC" w14:textId="376E33C8" w:rsidR="00501FCD" w:rsidRPr="00394157" w:rsidRDefault="1921E5AF" w:rsidP="00CF6655">
      <w:pPr>
        <w:rPr>
          <w:b/>
          <w:bCs/>
        </w:rPr>
      </w:pPr>
      <w:r>
        <w:t>T</w:t>
      </w:r>
      <w:r w:rsidR="05E51EB2">
        <w:t xml:space="preserve">his proposal offers the CPUC the opportunity to advance social and environmental justice objectives by approving a </w:t>
      </w:r>
      <w:r w:rsidR="19D9C376">
        <w:t>Program</w:t>
      </w:r>
      <w:r w:rsidR="05E51EB2">
        <w:t xml:space="preserve"> with the capacity to expand access to</w:t>
      </w:r>
      <w:r w:rsidR="6E2CC435">
        <w:t xml:space="preserve"> both publicly</w:t>
      </w:r>
      <w:r>
        <w:t xml:space="preserve"> </w:t>
      </w:r>
      <w:r w:rsidR="6E2CC435">
        <w:t>funded and privately</w:t>
      </w:r>
      <w:r>
        <w:t xml:space="preserve"> </w:t>
      </w:r>
      <w:r w:rsidR="6E2CC435">
        <w:t>funded clean</w:t>
      </w:r>
      <w:r>
        <w:t>-</w:t>
      </w:r>
      <w:r w:rsidR="6E2CC435">
        <w:t>energy investments</w:t>
      </w:r>
      <w:r>
        <w:t>. The proposal also incorporates</w:t>
      </w:r>
      <w:r w:rsidR="6E2CC435">
        <w:t xml:space="preserve"> strong </w:t>
      </w:r>
      <w:r w:rsidR="40AC4003">
        <w:t>customer protection</w:t>
      </w:r>
      <w:r w:rsidR="6E2CC435">
        <w:t>s</w:t>
      </w:r>
      <w:r>
        <w:t xml:space="preserve">, </w:t>
      </w:r>
      <w:r w:rsidR="6E2CC435">
        <w:t>without imposing</w:t>
      </w:r>
      <w:r w:rsidR="3F005AFA">
        <w:t xml:space="preserve"> financial means testing requirements.</w:t>
      </w:r>
      <w:r w:rsidR="7C40EAC6">
        <w:t xml:space="preserve"> </w:t>
      </w:r>
      <w:r w:rsidR="2E233F59">
        <w:t>The</w:t>
      </w:r>
      <w:r w:rsidR="69D80624">
        <w:t xml:space="preserve"> planning process associated with this proposal offers opportunities to engage with ESJ</w:t>
      </w:r>
      <w:r w:rsidR="731F44B0">
        <w:t xml:space="preserve"> communities</w:t>
      </w:r>
      <w:r w:rsidR="19D9C376">
        <w:t xml:space="preserve">, as described under </w:t>
      </w:r>
      <w:r w:rsidR="19D9C376" w:rsidRPr="727BFE15">
        <w:rPr>
          <w:b/>
          <w:bCs/>
        </w:rPr>
        <w:t>Goal 5.</w:t>
      </w:r>
    </w:p>
    <w:p w14:paraId="362B32AB" w14:textId="573F4CA0" w:rsidR="0023553F" w:rsidRDefault="0023553F" w:rsidP="0041651B">
      <w:pPr>
        <w:pStyle w:val="Heading3"/>
      </w:pPr>
      <w:r>
        <w:t>Goal 2:  Increase investment in clean energy resources to benefit ESJ communities, especially to improve local air quality and public health</w:t>
      </w:r>
    </w:p>
    <w:p w14:paraId="4014C179" w14:textId="0BE9DCD8" w:rsidR="00681342" w:rsidRPr="007F17C0" w:rsidRDefault="02AB7049" w:rsidP="00F739C6">
      <w:r>
        <w:t xml:space="preserve">This Tariffed On-Bill Investment </w:t>
      </w:r>
      <w:r w:rsidR="19D9C376">
        <w:t>Program</w:t>
      </w:r>
      <w:r>
        <w:t xml:space="preserve"> </w:t>
      </w:r>
      <w:r w:rsidR="6D51A291">
        <w:t>prioritizes</w:t>
      </w:r>
      <w:r w:rsidR="1E6CA66F">
        <w:t xml:space="preserve"> investment in the replacement of</w:t>
      </w:r>
      <w:r w:rsidR="7C8F9D27">
        <w:t xml:space="preserve"> in-home</w:t>
      </w:r>
      <w:r w:rsidR="1E6CA66F">
        <w:t xml:space="preserve"> fossil-fueled appliance</w:t>
      </w:r>
      <w:r w:rsidR="7C8F9D27">
        <w:t>s</w:t>
      </w:r>
      <w:r w:rsidR="1E6CA66F">
        <w:t xml:space="preserve"> </w:t>
      </w:r>
      <w:r w:rsidR="7C8F9D27">
        <w:t>with high</w:t>
      </w:r>
      <w:r w:rsidR="1921E5AF">
        <w:t>-</w:t>
      </w:r>
      <w:r w:rsidR="7C8F9D27">
        <w:t>performance alternatives powered by clean electricity</w:t>
      </w:r>
      <w:r w:rsidR="1921E5AF">
        <w:t xml:space="preserve"> </w:t>
      </w:r>
      <w:r w:rsidR="4FA1FC27">
        <w:t xml:space="preserve">combined with supporting upgrades for </w:t>
      </w:r>
      <w:r w:rsidR="1921E5AF">
        <w:t xml:space="preserve">appropriate, cost-effective </w:t>
      </w:r>
      <w:r w:rsidR="4FA1FC27">
        <w:t>energy efficiency and renewable generation</w:t>
      </w:r>
      <w:r w:rsidR="7C8F9D27">
        <w:t xml:space="preserve">. These upgrades will remove a major </w:t>
      </w:r>
      <w:r w:rsidR="4F944D55">
        <w:t xml:space="preserve">in-home </w:t>
      </w:r>
      <w:r w:rsidR="7C8F9D27">
        <w:t>source of carbon monoxide</w:t>
      </w:r>
      <w:r w:rsidR="2E9FB8B7">
        <w:t>, nitrous oxides, and sul</w:t>
      </w:r>
      <w:r w:rsidR="1921E5AF">
        <w:t>f</w:t>
      </w:r>
      <w:r w:rsidR="2E9FB8B7">
        <w:t>ur</w:t>
      </w:r>
      <w:r w:rsidR="34B2045E">
        <w:t xml:space="preserve"> dioxide, with associated improvements in</w:t>
      </w:r>
      <w:r w:rsidR="2FDC7CD0">
        <w:t xml:space="preserve"> both</w:t>
      </w:r>
      <w:r w:rsidR="34B2045E">
        <w:t xml:space="preserve"> indoor and ambient air quality.</w:t>
      </w:r>
      <w:r w:rsidR="2219DB66">
        <w:t xml:space="preserve"> </w:t>
      </w:r>
      <w:r w:rsidR="144F29D4">
        <w:t>By eliminating financial means testing, the TOB investment model</w:t>
      </w:r>
      <w:r w:rsidR="1759B31B">
        <w:t xml:space="preserve"> </w:t>
      </w:r>
      <w:r w:rsidR="3D8C5FE2">
        <w:t>expand</w:t>
      </w:r>
      <w:r w:rsidR="144F29D4">
        <w:t>s</w:t>
      </w:r>
      <w:r w:rsidR="3D8C5FE2">
        <w:t xml:space="preserve"> </w:t>
      </w:r>
      <w:r w:rsidR="1B049F99">
        <w:t xml:space="preserve">the likely number of clean-energy projects in ESJ </w:t>
      </w:r>
      <w:r w:rsidR="2219DB66">
        <w:t>communities</w:t>
      </w:r>
      <w:r w:rsidR="1B049F99">
        <w:t>,</w:t>
      </w:r>
      <w:r w:rsidR="2219DB66">
        <w:t xml:space="preserve"> </w:t>
      </w:r>
      <w:r w:rsidR="02DFD89F">
        <w:t>in a way that incorporates</w:t>
      </w:r>
      <w:r w:rsidR="2219DB66">
        <w:t xml:space="preserve"> </w:t>
      </w:r>
      <w:r w:rsidR="1B049F99">
        <w:t xml:space="preserve">valid and reliable </w:t>
      </w:r>
      <w:r w:rsidR="40AC4003">
        <w:t>customer protection</w:t>
      </w:r>
      <w:r w:rsidR="2219DB66">
        <w:t>s</w:t>
      </w:r>
      <w:r w:rsidR="79F666B0">
        <w:t xml:space="preserve">. </w:t>
      </w:r>
    </w:p>
    <w:p w14:paraId="527B6C94" w14:textId="740648AB" w:rsidR="0023553F" w:rsidRDefault="0023553F" w:rsidP="0041651B">
      <w:pPr>
        <w:pStyle w:val="Heading3"/>
      </w:pPr>
      <w:r>
        <w:t>Goal 3: Strive to improve access to high-quality water, communications, and transportation services for ESJ communities</w:t>
      </w:r>
    </w:p>
    <w:p w14:paraId="79D0CD77" w14:textId="462631AD" w:rsidR="00976B0B" w:rsidRPr="00F562B1" w:rsidRDefault="11A397D0" w:rsidP="00F562B1">
      <w:r>
        <w:t>The Tariffed On-Bill investment model</w:t>
      </w:r>
      <w:r w:rsidR="69503199">
        <w:t xml:space="preserve"> for water districts is</w:t>
      </w:r>
      <w:r>
        <w:t xml:space="preserve"> already</w:t>
      </w:r>
      <w:r w:rsidR="69503199">
        <w:t xml:space="preserve"> codified in state law through the Water Bill Savings Act</w:t>
      </w:r>
      <w:r w:rsidR="521D73CF">
        <w:t xml:space="preserve"> (Senate Bill 564, McGuire, 2017)</w:t>
      </w:r>
      <w:r w:rsidR="1B049F99">
        <w:t>. T</w:t>
      </w:r>
      <w:r w:rsidR="7DFA90AC">
        <w:t xml:space="preserve">he mechanism </w:t>
      </w:r>
      <w:r w:rsidR="7565D3A0">
        <w:t xml:space="preserve">has an established track record with California water utilities, </w:t>
      </w:r>
      <w:r w:rsidR="1B049F99">
        <w:t xml:space="preserve">shown in </w:t>
      </w:r>
      <w:r w:rsidR="7DFA90AC">
        <w:t>the experiences in the cities of Win</w:t>
      </w:r>
      <w:r w:rsidR="4DBB5DB6">
        <w:t>d</w:t>
      </w:r>
      <w:r w:rsidR="7DFA90AC">
        <w:t>sor</w:t>
      </w:r>
      <w:r w:rsidR="38EFE50A">
        <w:t xml:space="preserve"> and Hayward and </w:t>
      </w:r>
      <w:r w:rsidR="205491F2">
        <w:t xml:space="preserve">other Bay Area municipal utilities </w:t>
      </w:r>
      <w:r w:rsidR="1FFF1581">
        <w:t>with</w:t>
      </w:r>
      <w:r w:rsidR="38EFE50A">
        <w:t xml:space="preserve"> the Association of Bay Area Governmen</w:t>
      </w:r>
      <w:r w:rsidR="38EFE50A" w:rsidRPr="00266BD5">
        <w:t>ts</w:t>
      </w:r>
      <w:r w:rsidR="00B35040">
        <w:rPr>
          <w:rStyle w:val="FootnoteReference"/>
        </w:rPr>
        <w:footnoteReference w:id="16"/>
      </w:r>
      <w:r w:rsidR="38EFE50A" w:rsidRPr="00266BD5">
        <w:t>.</w:t>
      </w:r>
      <w:r w:rsidR="7CE02D54" w:rsidRPr="00266BD5">
        <w:t xml:space="preserve"> As part of the implementation planning process, </w:t>
      </w:r>
      <w:r w:rsidR="7CE02D54" w:rsidRPr="004B764A">
        <w:t>[</w:t>
      </w:r>
      <w:r w:rsidR="1B049F99">
        <w:t xml:space="preserve">Program </w:t>
      </w:r>
      <w:r w:rsidR="7CE02D54" w:rsidRPr="004B764A">
        <w:t>Sponsor]</w:t>
      </w:r>
      <w:r w:rsidR="7CE02D54">
        <w:t xml:space="preserve"> will explore opportunities to collaborate with local water districts </w:t>
      </w:r>
      <w:r w:rsidR="1B049F99">
        <w:t>i</w:t>
      </w:r>
      <w:r w:rsidR="7CE02D54">
        <w:t>n the joint delivery of both energy and water</w:t>
      </w:r>
      <w:r w:rsidR="00264914">
        <w:t xml:space="preserve"> measures.</w:t>
      </w:r>
    </w:p>
    <w:p w14:paraId="098E520E" w14:textId="56728587" w:rsidR="00FA566B" w:rsidRDefault="0023553F" w:rsidP="0041651B">
      <w:pPr>
        <w:pStyle w:val="Heading3"/>
      </w:pPr>
      <w:r>
        <w:t>Goal 4: Increase climate resiliency in ESJ communities</w:t>
      </w:r>
    </w:p>
    <w:p w14:paraId="7646F7A5" w14:textId="35922846" w:rsidR="000E1A83" w:rsidRDefault="157E6F41" w:rsidP="000E1A83">
      <w:r>
        <w:t xml:space="preserve">Rooftop solar and battery storage are eligible program measures. </w:t>
      </w:r>
      <w:r w:rsidR="1B049F99">
        <w:t>T</w:t>
      </w:r>
      <w:r>
        <w:t>hese measures</w:t>
      </w:r>
      <w:r w:rsidR="1B049F99">
        <w:t xml:space="preserve">, when combined, </w:t>
      </w:r>
      <w:r>
        <w:t>can mitigate the risks associated with Public Safety Power Shutoff events</w:t>
      </w:r>
      <w:r w:rsidR="1B049F99">
        <w:t>,</w:t>
      </w:r>
      <w:r>
        <w:t xml:space="preserve"> while also minimizing grid electricity purchases during peak pricing periods.</w:t>
      </w:r>
    </w:p>
    <w:p w14:paraId="23DDFD47" w14:textId="72CAFC85" w:rsidR="00A62D28" w:rsidRDefault="2F016128" w:rsidP="00F71FDB">
      <w:r>
        <w:t>One of the electrification measures prioritized in the</w:t>
      </w:r>
      <w:r w:rsidR="0E714E25">
        <w:t xml:space="preserve"> Tariffed On-Bill Investment </w:t>
      </w:r>
      <w:r w:rsidR="19D9C376">
        <w:t>Program</w:t>
      </w:r>
      <w:r w:rsidR="0E714E25">
        <w:t xml:space="preserve"> </w:t>
      </w:r>
      <w:r>
        <w:t>is heat pump space conditioning</w:t>
      </w:r>
      <w:r w:rsidR="594D304E">
        <w:t>,</w:t>
      </w:r>
      <w:r w:rsidR="0BE316F0">
        <w:t xml:space="preserve"> coupled with Internet-enabled thermostat controls. This measure</w:t>
      </w:r>
      <w:r w:rsidR="1B049F99">
        <w:t xml:space="preserve"> might</w:t>
      </w:r>
      <w:r w:rsidR="1FFA3089">
        <w:t xml:space="preserve"> </w:t>
      </w:r>
      <w:r>
        <w:t>offer</w:t>
      </w:r>
      <w:r w:rsidR="0BE316F0">
        <w:t xml:space="preserve"> </w:t>
      </w:r>
      <w:r w:rsidR="194E65C7">
        <w:t xml:space="preserve">the following </w:t>
      </w:r>
      <w:r w:rsidR="0BE316F0">
        <w:t>climate resiliency benefits</w:t>
      </w:r>
      <w:r w:rsidR="12EA81A0">
        <w:t>:</w:t>
      </w:r>
    </w:p>
    <w:p w14:paraId="7A475525" w14:textId="5765E947" w:rsidR="00183B1C" w:rsidRDefault="7ED13A5C" w:rsidP="00DA2342">
      <w:pPr>
        <w:pStyle w:val="ListParagraph"/>
        <w:numPr>
          <w:ilvl w:val="0"/>
          <w:numId w:val="9"/>
        </w:numPr>
      </w:pPr>
      <w:r>
        <w:t>Adds mechanical air</w:t>
      </w:r>
      <w:r w:rsidR="194E65C7">
        <w:t>-</w:t>
      </w:r>
      <w:r>
        <w:t xml:space="preserve">conditioning services for households </w:t>
      </w:r>
      <w:r w:rsidR="619FA3C9">
        <w:t xml:space="preserve">that currently lack air conditioning. </w:t>
      </w:r>
      <w:r w:rsidR="194E65C7">
        <w:t xml:space="preserve">Although </w:t>
      </w:r>
      <w:r w:rsidR="795CFB54">
        <w:t>adding new cooling load by itself would erode bill savings and thus</w:t>
      </w:r>
      <w:r w:rsidR="2126CF43">
        <w:t xml:space="preserve"> conflict with the </w:t>
      </w:r>
      <w:r w:rsidR="194E65C7">
        <w:t xml:space="preserve">benefits from the </w:t>
      </w:r>
      <w:r w:rsidR="2126CF43">
        <w:t>TOB financial model, it m</w:t>
      </w:r>
      <w:r w:rsidR="194E65C7">
        <w:t>ight</w:t>
      </w:r>
      <w:r w:rsidR="2126CF43">
        <w:t xml:space="preserve"> be possible to add air conditioning in combination with rooftop solar and battery storage. </w:t>
      </w:r>
      <w:r w:rsidR="31E68201">
        <w:t>This</w:t>
      </w:r>
      <w:r w:rsidR="68AB03EC">
        <w:t xml:space="preserve"> addition</w:t>
      </w:r>
      <w:r w:rsidR="2126CF43">
        <w:t xml:space="preserve"> would</w:t>
      </w:r>
      <w:r w:rsidR="68AB03EC">
        <w:t xml:space="preserve"> shield occupants from the </w:t>
      </w:r>
      <w:r w:rsidR="194E65C7">
        <w:t xml:space="preserve">effects </w:t>
      </w:r>
      <w:r w:rsidR="68AB03EC">
        <w:t xml:space="preserve">of extreme heat events and </w:t>
      </w:r>
      <w:r w:rsidR="621A5C16">
        <w:t>reduce</w:t>
      </w:r>
      <w:r w:rsidR="31E68201">
        <w:t xml:space="preserve"> dependency</w:t>
      </w:r>
      <w:r w:rsidR="3676489E">
        <w:t xml:space="preserve"> on centralized cooling centers</w:t>
      </w:r>
      <w:r w:rsidR="6D88164C">
        <w:t xml:space="preserve">. </w:t>
      </w:r>
      <w:r w:rsidR="4613B49A">
        <w:t xml:space="preserve">Mechanical </w:t>
      </w:r>
      <w:r w:rsidR="382EDF8C">
        <w:t>air conditioning</w:t>
      </w:r>
      <w:r w:rsidR="6D88164C">
        <w:t xml:space="preserve"> </w:t>
      </w:r>
      <w:r w:rsidR="2126CF43">
        <w:t xml:space="preserve">would </w:t>
      </w:r>
      <w:r w:rsidR="6D88164C">
        <w:t xml:space="preserve">also </w:t>
      </w:r>
      <w:r w:rsidR="0C9DD765">
        <w:t>reduce</w:t>
      </w:r>
      <w:r w:rsidR="20533DFF">
        <w:t xml:space="preserve"> </w:t>
      </w:r>
      <w:r w:rsidR="0002B1FE">
        <w:t>vulnerability to</w:t>
      </w:r>
      <w:r w:rsidR="7587A6CE">
        <w:t xml:space="preserve"> </w:t>
      </w:r>
      <w:r w:rsidR="0206F4E1">
        <w:t>extreme</w:t>
      </w:r>
      <w:r w:rsidR="2E7EDC62">
        <w:t xml:space="preserve">ly poor </w:t>
      </w:r>
      <w:r w:rsidR="625805EA">
        <w:t xml:space="preserve">outside </w:t>
      </w:r>
      <w:r w:rsidR="0206F4E1">
        <w:t>air quality</w:t>
      </w:r>
      <w:r w:rsidR="7692A107">
        <w:t>,</w:t>
      </w:r>
      <w:r w:rsidR="0206F4E1">
        <w:t xml:space="preserve"> </w:t>
      </w:r>
      <w:r w:rsidR="3D00A3B2">
        <w:t>such as</w:t>
      </w:r>
      <w:r w:rsidR="4613B49A">
        <w:t xml:space="preserve"> </w:t>
      </w:r>
      <w:r w:rsidR="194E65C7">
        <w:t xml:space="preserve">that </w:t>
      </w:r>
      <w:r w:rsidR="4613B49A">
        <w:t xml:space="preserve">caused by </w:t>
      </w:r>
      <w:r w:rsidR="194E65C7">
        <w:t xml:space="preserve">nearby wildfires or </w:t>
      </w:r>
      <w:r w:rsidR="4613B49A">
        <w:t>forest fires</w:t>
      </w:r>
      <w:r w:rsidR="3676489E">
        <w:t>.</w:t>
      </w:r>
      <w:r w:rsidR="6BF010BF">
        <w:t xml:space="preserve"> The ability to add air conditioning </w:t>
      </w:r>
      <w:r w:rsidR="194E65C7">
        <w:t xml:space="preserve">is </w:t>
      </w:r>
      <w:r w:rsidR="76A0B13A">
        <w:t>contingent</w:t>
      </w:r>
      <w:r w:rsidR="6BF010BF">
        <w:t xml:space="preserve"> on the ability to deliver meaningful utility bill savings to the customer.</w:t>
      </w:r>
    </w:p>
    <w:p w14:paraId="0C333325" w14:textId="41BCC3D5" w:rsidR="00A676C8" w:rsidRPr="00F71FDB" w:rsidRDefault="15394F26" w:rsidP="00DA2342">
      <w:pPr>
        <w:pStyle w:val="ListParagraph"/>
        <w:numPr>
          <w:ilvl w:val="0"/>
          <w:numId w:val="9"/>
        </w:numPr>
      </w:pPr>
      <w:r>
        <w:t>Internet-enabled controls, combined with basic weatherization measures, empower occupants to</w:t>
      </w:r>
      <w:r w:rsidR="37C09F66">
        <w:t xml:space="preserve"> concentrate energy use during more affordable off-peak hours without sacrificing comfort.</w:t>
      </w:r>
    </w:p>
    <w:p w14:paraId="7A279ADC" w14:textId="77777777" w:rsidR="00BC05EB" w:rsidRDefault="00BC05EB" w:rsidP="00BC05EB">
      <w:pPr>
        <w:pStyle w:val="Heading3"/>
      </w:pPr>
      <w:r>
        <w:t>Goal 5: Enhance outreach and public participation opportunities for ESJ communities to meaningfully participate in the CPUC’s decision-making process and benefit from CPUC programs</w:t>
      </w:r>
    </w:p>
    <w:p w14:paraId="76EBF7FA" w14:textId="6505239E" w:rsidR="004A6704" w:rsidRDefault="1E632451" w:rsidP="004A6704">
      <w:r>
        <w:t>This</w:t>
      </w:r>
      <w:r w:rsidR="194E65C7">
        <w:t xml:space="preserve"> proposed</w:t>
      </w:r>
      <w:r>
        <w:t xml:space="preserve"> </w:t>
      </w:r>
      <w:r w:rsidR="19D9C376">
        <w:t>Program</w:t>
      </w:r>
      <w:r>
        <w:t xml:space="preserve"> offers opportunities to engage ESJ</w:t>
      </w:r>
      <w:r w:rsidR="62AB51EC">
        <w:t xml:space="preserve"> communities </w:t>
      </w:r>
      <w:r w:rsidR="194E65C7">
        <w:t xml:space="preserve">on </w:t>
      </w:r>
      <w:r w:rsidR="62AB51EC">
        <w:t xml:space="preserve">issues of direct relevance to them. </w:t>
      </w:r>
      <w:r w:rsidR="0A7DEB0F">
        <w:t xml:space="preserve">As described </w:t>
      </w:r>
      <w:r w:rsidR="194E65C7">
        <w:t xml:space="preserve">in </w:t>
      </w:r>
      <w:r w:rsidR="0A7DEB0F" w:rsidRPr="727BFE15">
        <w:rPr>
          <w:b/>
          <w:bCs/>
        </w:rPr>
        <w:t>Goal 1,</w:t>
      </w:r>
      <w:r w:rsidR="0A7DEB0F">
        <w:t xml:space="preserve"> t</w:t>
      </w:r>
      <w:r w:rsidR="3F005AFA">
        <w:t>he planning process associated with this proposal offers at least three distinct opportunities to engage ESJ communities:</w:t>
      </w:r>
    </w:p>
    <w:p w14:paraId="55951D7E" w14:textId="1CBCDF1A" w:rsidR="004A6704" w:rsidRDefault="3F005AFA" w:rsidP="00DA2342">
      <w:pPr>
        <w:pStyle w:val="ListParagraph"/>
        <w:numPr>
          <w:ilvl w:val="0"/>
          <w:numId w:val="10"/>
        </w:numPr>
      </w:pPr>
      <w:r>
        <w:t>[</w:t>
      </w:r>
      <w:r w:rsidR="194E65C7">
        <w:t xml:space="preserve">Program </w:t>
      </w:r>
      <w:r>
        <w:t>Sponsor] ha</w:t>
      </w:r>
      <w:r w:rsidR="19D9C376">
        <w:t>s</w:t>
      </w:r>
      <w:r>
        <w:t xml:space="preserve"> already engaged with ESJ community representatives in the course of developing this current proposal. [Brief description</w:t>
      </w:r>
      <w:r w:rsidR="194E65C7">
        <w:t xml:space="preserve"> of that engagement</w:t>
      </w:r>
      <w:r>
        <w:t>]</w:t>
      </w:r>
    </w:p>
    <w:p w14:paraId="1706CB6B" w14:textId="3738F2D2" w:rsidR="004A6704" w:rsidRPr="00AA1EC7" w:rsidRDefault="3F005AFA" w:rsidP="00DA2342">
      <w:pPr>
        <w:pStyle w:val="ListParagraph"/>
        <w:numPr>
          <w:ilvl w:val="0"/>
          <w:numId w:val="10"/>
        </w:numPr>
      </w:pPr>
      <w:r>
        <w:t xml:space="preserve"> [</w:t>
      </w:r>
      <w:r w:rsidR="194E65C7">
        <w:t xml:space="preserve">Program </w:t>
      </w:r>
      <w:r>
        <w:t>Sponsor] commit</w:t>
      </w:r>
      <w:r w:rsidR="19D9C376">
        <w:t>s</w:t>
      </w:r>
      <w:r>
        <w:t xml:space="preserve"> to further ESJ community engagement </w:t>
      </w:r>
      <w:r w:rsidR="194E65C7">
        <w:t xml:space="preserve">for </w:t>
      </w:r>
      <w:r w:rsidR="0FED0825">
        <w:t xml:space="preserve">creating the </w:t>
      </w:r>
      <w:r>
        <w:t>implementation plan.</w:t>
      </w:r>
      <w:r w:rsidR="41440CC5">
        <w:t xml:space="preserve"> [Reference marketing</w:t>
      </w:r>
      <w:r w:rsidR="700C276E">
        <w:t xml:space="preserve"> and outreach</w:t>
      </w:r>
      <w:r w:rsidR="41440CC5">
        <w:t xml:space="preserve"> plan</w:t>
      </w:r>
      <w:r w:rsidR="700C276E">
        <w:t>,</w:t>
      </w:r>
      <w:r w:rsidR="23C0013A">
        <w:t xml:space="preserve"> role of </w:t>
      </w:r>
      <w:r w:rsidR="0FED0825">
        <w:t>community-based organizations (CBOs)</w:t>
      </w:r>
      <w:r w:rsidR="23C0013A">
        <w:t>,</w:t>
      </w:r>
      <w:r w:rsidR="700C276E">
        <w:t xml:space="preserve"> </w:t>
      </w:r>
      <w:r w:rsidR="40AC4003">
        <w:t>customer protection</w:t>
      </w:r>
      <w:r w:rsidR="700C276E">
        <w:t xml:space="preserve">s, </w:t>
      </w:r>
      <w:r w:rsidR="0FED0825">
        <w:t xml:space="preserve">and </w:t>
      </w:r>
      <w:r w:rsidR="700C276E">
        <w:t>workforce development, as appropriate]</w:t>
      </w:r>
    </w:p>
    <w:p w14:paraId="37610AFD" w14:textId="08777D9E" w:rsidR="00FA566B" w:rsidRDefault="0023553F" w:rsidP="0041651B">
      <w:pPr>
        <w:pStyle w:val="Heading3"/>
      </w:pPr>
      <w:r>
        <w:t xml:space="preserve">Goal 6: Enhance enforcement to ensure safety and </w:t>
      </w:r>
      <w:r w:rsidR="00B852C5">
        <w:t>customer protection</w:t>
      </w:r>
      <w:r>
        <w:t xml:space="preserve"> for ESJ communities</w:t>
      </w:r>
    </w:p>
    <w:p w14:paraId="217D2D86" w14:textId="2BD8E04A" w:rsidR="005C4676" w:rsidRDefault="276BDE6C" w:rsidP="00BF6DD7">
      <w:r>
        <w:t xml:space="preserve">The Tariffed On-Bill Investment </w:t>
      </w:r>
      <w:r w:rsidR="19D9C376">
        <w:t>Program</w:t>
      </w:r>
      <w:r>
        <w:t xml:space="preserve"> incorporates </w:t>
      </w:r>
      <w:r w:rsidR="40AC4003">
        <w:t>customer protection</w:t>
      </w:r>
      <w:r>
        <w:t xml:space="preserve"> mechanisms that</w:t>
      </w:r>
      <w:r w:rsidR="2A15CCD8">
        <w:t xml:space="preserve"> shield participants from </w:t>
      </w:r>
      <w:r w:rsidR="0FED0825">
        <w:t xml:space="preserve">the </w:t>
      </w:r>
      <w:r w:rsidR="2A15CCD8">
        <w:t>threat of home foreclosure or equipment repossession</w:t>
      </w:r>
      <w:r w:rsidR="6143D1C3">
        <w:t>. By reducing customer energy burdens</w:t>
      </w:r>
      <w:r w:rsidR="3D54AEE1">
        <w:t xml:space="preserve">, </w:t>
      </w:r>
      <w:r w:rsidR="3F9AC29A">
        <w:t>t</w:t>
      </w:r>
      <w:r w:rsidR="6143D1C3">
        <w:t xml:space="preserve">he </w:t>
      </w:r>
      <w:r w:rsidR="19D9C376">
        <w:t>Program</w:t>
      </w:r>
      <w:r w:rsidR="6143D1C3">
        <w:t xml:space="preserve"> reduce</w:t>
      </w:r>
      <w:r w:rsidR="3D54AEE1">
        <w:t>s</w:t>
      </w:r>
      <w:r w:rsidR="6143D1C3">
        <w:t xml:space="preserve"> customer exposure to the risk of disconnections for nonpayment.</w:t>
      </w:r>
      <w:r w:rsidR="3D54AEE1">
        <w:t xml:space="preserve"> The </w:t>
      </w:r>
      <w:r w:rsidR="19D9C376">
        <w:t>Program</w:t>
      </w:r>
      <w:r w:rsidR="3D54AEE1">
        <w:t xml:space="preserve"> is able to achieve these outcomes while expanding access to clean</w:t>
      </w:r>
      <w:r w:rsidR="0FED0825">
        <w:t>-</w:t>
      </w:r>
      <w:r w:rsidR="3D54AEE1">
        <w:t>energy investments</w:t>
      </w:r>
      <w:r w:rsidR="0FED0825">
        <w:t>,</w:t>
      </w:r>
      <w:r w:rsidR="3D54AEE1">
        <w:t xml:space="preserve"> and without imposing means testing.</w:t>
      </w:r>
      <w:r w:rsidR="7B8A7E2F">
        <w:t xml:space="preserve"> </w:t>
      </w:r>
    </w:p>
    <w:p w14:paraId="4D0CAFFE" w14:textId="617CA365" w:rsidR="00C86E43" w:rsidRDefault="21897A2A" w:rsidP="727BFE15">
      <w:r>
        <w:t>It is impossible to eliminate all risk</w:t>
      </w:r>
      <w:r w:rsidR="0FED0825">
        <w:t xml:space="preserve">s. However, it is appropriate </w:t>
      </w:r>
      <w:r>
        <w:t xml:space="preserve">to clearly identify </w:t>
      </w:r>
      <w:r w:rsidR="0FED0825">
        <w:t>them,</w:t>
      </w:r>
      <w:r>
        <w:t xml:space="preserve"> </w:t>
      </w:r>
      <w:r w:rsidR="7F7C1223">
        <w:t xml:space="preserve">describe </w:t>
      </w:r>
      <w:r>
        <w:t xml:space="preserve"> mitigat</w:t>
      </w:r>
      <w:r w:rsidR="7F7C1223">
        <w:t xml:space="preserve">ion strategies, and </w:t>
      </w:r>
      <w:r>
        <w:t xml:space="preserve">assign them to the party most able to handle them. The </w:t>
      </w:r>
      <w:r w:rsidR="19D9C376">
        <w:t>Program</w:t>
      </w:r>
      <w:r>
        <w:t xml:space="preserve"> approaches customer protection with the philosophy that it is the </w:t>
      </w:r>
      <w:r w:rsidR="7F7C1223">
        <w:t>P</w:t>
      </w:r>
      <w:r>
        <w:t xml:space="preserve">rogram’s responsibility to assure that </w:t>
      </w:r>
      <w:r w:rsidR="7F7C1223">
        <w:t xml:space="preserve">TOB </w:t>
      </w:r>
      <w:r>
        <w:t>investments are scoped to be cash-positive for the occupant</w:t>
      </w:r>
      <w:r w:rsidR="7F7C1223">
        <w:t>,</w:t>
      </w:r>
      <w:r>
        <w:t xml:space="preserve"> and that </w:t>
      </w:r>
      <w:r w:rsidR="7F7C1223">
        <w:t>building energy i</w:t>
      </w:r>
      <w:r>
        <w:t xml:space="preserve">mprovements perform as designed. The </w:t>
      </w:r>
      <w:r w:rsidR="7F7C1223">
        <w:t>P</w:t>
      </w:r>
      <w:r>
        <w:t xml:space="preserve">rogram </w:t>
      </w:r>
      <w:r w:rsidR="7F7C1223">
        <w:t>S</w:t>
      </w:r>
      <w:r>
        <w:t xml:space="preserve">ponsor, property owner, and occupant </w:t>
      </w:r>
      <w:r w:rsidR="7F7C1223">
        <w:t xml:space="preserve">each share interests </w:t>
      </w:r>
      <w:r>
        <w:t>in the proper operation and maintenance of improvements</w:t>
      </w:r>
      <w:r w:rsidR="7F7C1223">
        <w:t>,</w:t>
      </w:r>
      <w:r>
        <w:t xml:space="preserve"> in keeping with </w:t>
      </w:r>
      <w:r w:rsidR="7F7C1223">
        <w:t xml:space="preserve">equipment </w:t>
      </w:r>
      <w:r>
        <w:t>manufacturers</w:t>
      </w:r>
      <w:r w:rsidR="7F7C1223">
        <w:t>’</w:t>
      </w:r>
      <w:r>
        <w:t xml:space="preserve"> recommendations. Finally, the occupant is solely responsible for any unrelated energy use changes. Specific customer protections:</w:t>
      </w:r>
    </w:p>
    <w:p w14:paraId="7896666F" w14:textId="5DEB2257" w:rsidR="007D23C2" w:rsidRDefault="5711935A" w:rsidP="006907F8">
      <w:pPr>
        <w:pStyle w:val="ListParagraph"/>
        <w:numPr>
          <w:ilvl w:val="0"/>
          <w:numId w:val="31"/>
        </w:numPr>
      </w:pPr>
      <w:r>
        <w:t xml:space="preserve">Assigning responsibility for </w:t>
      </w:r>
      <w:r w:rsidR="63917AEE">
        <w:t xml:space="preserve">participant recruitment and </w:t>
      </w:r>
      <w:r w:rsidR="3926A50A">
        <w:t xml:space="preserve">project scope development to an independent Program </w:t>
      </w:r>
      <w:r w:rsidR="7F7C1223">
        <w:t>o</w:t>
      </w:r>
      <w:r w:rsidR="3926A50A">
        <w:t>perator that is not financially motivated to maximize sales</w:t>
      </w:r>
    </w:p>
    <w:p w14:paraId="5EF1D58F" w14:textId="4E71D26A" w:rsidR="007D23B9" w:rsidRDefault="007D23B9" w:rsidP="006907F8">
      <w:pPr>
        <w:pStyle w:val="ListParagraph"/>
        <w:numPr>
          <w:ilvl w:val="0"/>
          <w:numId w:val="31"/>
        </w:numPr>
      </w:pPr>
      <w:r>
        <w:t>Requiring installers to be fully licensed and bonded</w:t>
      </w:r>
      <w:r w:rsidR="001F3536">
        <w:t xml:space="preserve"> and all project installations to be fully permitted</w:t>
      </w:r>
    </w:p>
    <w:p w14:paraId="7FA21DA5" w14:textId="6D6D6594" w:rsidR="00AC2D3A" w:rsidRDefault="00AC2D3A" w:rsidP="006907F8">
      <w:pPr>
        <w:pStyle w:val="ListParagraph"/>
        <w:numPr>
          <w:ilvl w:val="0"/>
          <w:numId w:val="31"/>
        </w:numPr>
      </w:pPr>
      <w:r>
        <w:t xml:space="preserve">Adopting </w:t>
      </w:r>
      <w:r w:rsidR="00A0534E">
        <w:t xml:space="preserve">Program </w:t>
      </w:r>
      <w:r>
        <w:t>procedures for</w:t>
      </w:r>
      <w:r w:rsidR="00A0534E">
        <w:t xml:space="preserve"> post-installation project quality control inspections and acceptance testing</w:t>
      </w:r>
    </w:p>
    <w:p w14:paraId="2F04DEED" w14:textId="40588EA9" w:rsidR="001D1276" w:rsidRDefault="00E729CB" w:rsidP="006907F8">
      <w:pPr>
        <w:pStyle w:val="ListParagraph"/>
        <w:numPr>
          <w:ilvl w:val="0"/>
          <w:numId w:val="31"/>
        </w:numPr>
      </w:pPr>
      <w:r>
        <w:t>Establishing warranty requirements for equipment, parts, and labor</w:t>
      </w:r>
    </w:p>
    <w:p w14:paraId="1DAB358C" w14:textId="12AA0DA3" w:rsidR="00CB417B" w:rsidRDefault="07C2CF1B" w:rsidP="006907F8">
      <w:pPr>
        <w:pStyle w:val="ListParagraph"/>
        <w:numPr>
          <w:ilvl w:val="0"/>
          <w:numId w:val="31"/>
        </w:numPr>
      </w:pPr>
      <w:r>
        <w:t>Constraining the decarbonization service charge to be</w:t>
      </w:r>
      <w:r w:rsidR="70996D47">
        <w:t xml:space="preserve"> </w:t>
      </w:r>
      <w:r w:rsidR="5766E4CE">
        <w:t>[</w:t>
      </w:r>
      <w:r w:rsidR="70996D47">
        <w:t>20 percent</w:t>
      </w:r>
      <w:r w:rsidR="5766E4CE">
        <w:t>]</w:t>
      </w:r>
      <w:r w:rsidR="70996D47">
        <w:t xml:space="preserve"> less than the expected bill savings</w:t>
      </w:r>
    </w:p>
    <w:p w14:paraId="219DCAEE" w14:textId="2FE39160" w:rsidR="00B072D1" w:rsidRDefault="546BAACA" w:rsidP="006907F8">
      <w:pPr>
        <w:pStyle w:val="ListParagraph"/>
        <w:numPr>
          <w:ilvl w:val="0"/>
          <w:numId w:val="31"/>
        </w:numPr>
      </w:pPr>
      <w:r>
        <w:t xml:space="preserve">Incorporating a </w:t>
      </w:r>
      <w:r w:rsidR="406750DC">
        <w:t xml:space="preserve">bill savings prediction </w:t>
      </w:r>
      <w:r>
        <w:t xml:space="preserve">guarantee to </w:t>
      </w:r>
      <w:r w:rsidR="5766E4CE">
        <w:t>en</w:t>
      </w:r>
      <w:r>
        <w:t>sure that actual metered energy savings</w:t>
      </w:r>
      <w:r w:rsidR="21DCC4F4">
        <w:t xml:space="preserve"> </w:t>
      </w:r>
      <w:r w:rsidR="5766E4CE">
        <w:t xml:space="preserve">align </w:t>
      </w:r>
      <w:r w:rsidR="21DCC4F4">
        <w:t>with predictions</w:t>
      </w:r>
    </w:p>
    <w:p w14:paraId="7228D781" w14:textId="5977CBF3" w:rsidR="00E86517" w:rsidRDefault="42AD0099" w:rsidP="006907F8">
      <w:pPr>
        <w:pStyle w:val="ListParagraph"/>
        <w:numPr>
          <w:ilvl w:val="0"/>
          <w:numId w:val="31"/>
        </w:numPr>
      </w:pPr>
      <w:r>
        <w:t xml:space="preserve">Requiring </w:t>
      </w:r>
      <w:r w:rsidR="7BA9F3A2">
        <w:t xml:space="preserve">annual </w:t>
      </w:r>
      <w:r w:rsidR="63E5A877">
        <w:t xml:space="preserve">equipment </w:t>
      </w:r>
      <w:r w:rsidR="7BA9F3A2">
        <w:t>service agreements to</w:t>
      </w:r>
      <w:r w:rsidR="3E3E75F1">
        <w:t xml:space="preserve"> optimize equipment performance and avoid premature failures</w:t>
      </w:r>
      <w:r>
        <w:t>, combined with a small surcharge for equipment repair insurance</w:t>
      </w:r>
      <w:r w:rsidR="5766E4CE">
        <w:t>; this will eliminate</w:t>
      </w:r>
      <w:r w:rsidR="70FEFC2D">
        <w:t xml:space="preserve"> the customer’s risk of equipment under-performance or failure during the expected life of the improvements</w:t>
      </w:r>
    </w:p>
    <w:p w14:paraId="4699B848" w14:textId="0C8B9424" w:rsidR="00CD1A1A" w:rsidRPr="00BF6DD7" w:rsidRDefault="3E3E75F1" w:rsidP="00CD1A1A">
      <w:r>
        <w:t>Taken together,</w:t>
      </w:r>
      <w:r w:rsidR="6B95227F">
        <w:t xml:space="preserve"> these protections</w:t>
      </w:r>
      <w:r w:rsidR="4B3F2792">
        <w:t xml:space="preserve"> effectively minimize opportunities for </w:t>
      </w:r>
      <w:r w:rsidR="00D14BEE">
        <w:t>fraud and unfair business practices</w:t>
      </w:r>
      <w:r w:rsidR="4B3F2792">
        <w:t xml:space="preserve"> that have </w:t>
      </w:r>
      <w:r w:rsidR="5766E4CE">
        <w:t xml:space="preserve">been observed in </w:t>
      </w:r>
      <w:r w:rsidR="4B3F2792">
        <w:t>other</w:t>
      </w:r>
      <w:r w:rsidR="5EAFC933">
        <w:t xml:space="preserve"> clean</w:t>
      </w:r>
      <w:r w:rsidR="5766E4CE">
        <w:t>-</w:t>
      </w:r>
      <w:r w:rsidR="5EAFC933">
        <w:t xml:space="preserve">energy financing </w:t>
      </w:r>
      <w:r w:rsidR="5766E4CE">
        <w:t>strategies</w:t>
      </w:r>
      <w:r w:rsidR="5EAFC933">
        <w:t>.</w:t>
      </w:r>
      <w:r w:rsidR="794C3D2F">
        <w:t xml:space="preserve"> </w:t>
      </w:r>
      <w:r w:rsidR="5766E4CE">
        <w:t>Th</w:t>
      </w:r>
      <w:r w:rsidR="794C3D2F">
        <w:t>ey</w:t>
      </w:r>
      <w:r w:rsidR="7962CFA3">
        <w:t xml:space="preserve"> make clean</w:t>
      </w:r>
      <w:r w:rsidR="5766E4CE">
        <w:t>-</w:t>
      </w:r>
      <w:r w:rsidR="7962CFA3">
        <w:t>energy investments accessible to</w:t>
      </w:r>
      <w:r w:rsidR="3F75735E">
        <w:t xml:space="preserve"> </w:t>
      </w:r>
      <w:r w:rsidR="5766E4CE">
        <w:t xml:space="preserve">customer </w:t>
      </w:r>
      <w:r w:rsidR="3F75735E">
        <w:t>population</w:t>
      </w:r>
      <w:r w:rsidR="5766E4CE">
        <w:t xml:space="preserve">s that are least equipped </w:t>
      </w:r>
      <w:r w:rsidR="3F75735E">
        <w:t>to take on any additional financial risks.</w:t>
      </w:r>
    </w:p>
    <w:p w14:paraId="07ACA6AD" w14:textId="5D2A5FAB" w:rsidR="001E7B79" w:rsidRDefault="0023553F" w:rsidP="00AD0310">
      <w:pPr>
        <w:pStyle w:val="Heading3"/>
      </w:pPr>
      <w:r>
        <w:t xml:space="preserve">Goal 7: </w:t>
      </w:r>
      <w:r w:rsidR="00AD0310">
        <w:t>Promote high road career paths and economic opportunity for residents of ESJ</w:t>
      </w:r>
      <w:r w:rsidR="001E7B79">
        <w:t xml:space="preserve"> </w:t>
      </w:r>
      <w:r w:rsidR="00767A39">
        <w:t>c</w:t>
      </w:r>
      <w:r w:rsidR="00AD0310">
        <w:t>ommunities</w:t>
      </w:r>
    </w:p>
    <w:p w14:paraId="263B21FB" w14:textId="12D77BAF" w:rsidR="00682EDC" w:rsidRPr="00BF6DD7" w:rsidRDefault="0DD3DDFA" w:rsidP="00682EDC">
      <w:r>
        <w:t xml:space="preserve">The Tariffed On-Bill Investment </w:t>
      </w:r>
      <w:r w:rsidR="19D9C376">
        <w:t>Program</w:t>
      </w:r>
      <w:r>
        <w:t xml:space="preserve"> will expand and accelerate clean</w:t>
      </w:r>
      <w:r w:rsidR="7F928D7E">
        <w:t>-</w:t>
      </w:r>
      <w:r>
        <w:t xml:space="preserve">energy investments, thereby creating new economic opportunities. As a starting point, the </w:t>
      </w:r>
      <w:r w:rsidR="19D9C376">
        <w:t>Program</w:t>
      </w:r>
      <w:r>
        <w:t xml:space="preserve"> will r</w:t>
      </w:r>
      <w:r w:rsidRPr="31B89B5B">
        <w:rPr>
          <w:rFonts w:ascii="Palatino Linotype" w:eastAsia="Palatino Linotype" w:hAnsi="Palatino Linotype" w:cs="Palatino Linotype"/>
        </w:rPr>
        <w:t xml:space="preserve">equire installations to be performed by licensed </w:t>
      </w:r>
      <w:r>
        <w:rPr>
          <w:rFonts w:ascii="Palatino Linotype" w:eastAsia="Palatino Linotype" w:hAnsi="Palatino Linotype" w:cs="Palatino Linotype"/>
        </w:rPr>
        <w:t>professionals</w:t>
      </w:r>
      <w:r w:rsidRPr="31B89B5B">
        <w:rPr>
          <w:rFonts w:ascii="Palatino Linotype" w:eastAsia="Palatino Linotype" w:hAnsi="Palatino Linotype" w:cs="Palatino Linotype"/>
        </w:rPr>
        <w:t xml:space="preserve"> and require permit closeouts</w:t>
      </w:r>
      <w:r w:rsidR="04BB933F">
        <w:rPr>
          <w:rFonts w:ascii="Palatino Linotype" w:eastAsia="Palatino Linotype" w:hAnsi="Palatino Linotype" w:cs="Palatino Linotype"/>
        </w:rPr>
        <w:t>. Th</w:t>
      </w:r>
      <w:r w:rsidR="0F90FFF7">
        <w:rPr>
          <w:rFonts w:ascii="Palatino Linotype" w:eastAsia="Palatino Linotype" w:hAnsi="Palatino Linotype" w:cs="Palatino Linotype"/>
        </w:rPr>
        <w:t xml:space="preserve">is essential requirement will help </w:t>
      </w:r>
      <w:r w:rsidRPr="31B89B5B">
        <w:rPr>
          <w:rFonts w:ascii="Palatino Linotype" w:eastAsia="Palatino Linotype" w:hAnsi="Palatino Linotype" w:cs="Palatino Linotype"/>
        </w:rPr>
        <w:t>promote best practice</w:t>
      </w:r>
      <w:r w:rsidR="0F90FFF7">
        <w:rPr>
          <w:rFonts w:ascii="Palatino Linotype" w:eastAsia="Palatino Linotype" w:hAnsi="Palatino Linotype" w:cs="Palatino Linotype"/>
        </w:rPr>
        <w:t>s</w:t>
      </w:r>
      <w:r w:rsidRPr="31B89B5B">
        <w:rPr>
          <w:rFonts w:ascii="Palatino Linotype" w:eastAsia="Palatino Linotype" w:hAnsi="Palatino Linotype" w:cs="Palatino Linotype"/>
        </w:rPr>
        <w:t xml:space="preserve"> and prioritize </w:t>
      </w:r>
      <w:r w:rsidR="0F90FFF7">
        <w:rPr>
          <w:rFonts w:ascii="Palatino Linotype" w:eastAsia="Palatino Linotype" w:hAnsi="Palatino Linotype" w:cs="Palatino Linotype"/>
        </w:rPr>
        <w:t xml:space="preserve">contractors who consistently </w:t>
      </w:r>
      <w:r w:rsidR="2FAD0446">
        <w:rPr>
          <w:rFonts w:ascii="Palatino Linotype" w:eastAsia="Palatino Linotype" w:hAnsi="Palatino Linotype" w:cs="Palatino Linotype"/>
        </w:rPr>
        <w:t xml:space="preserve">apply high quality to installations. </w:t>
      </w:r>
      <w:r w:rsidRPr="00C4003C">
        <w:t>[</w:t>
      </w:r>
      <w:r w:rsidR="2FAD0446">
        <w:t xml:space="preserve">Program </w:t>
      </w:r>
      <w:r w:rsidRPr="00C4003C">
        <w:t>Sponsor]</w:t>
      </w:r>
      <w:r>
        <w:t xml:space="preserve"> commit</w:t>
      </w:r>
      <w:r w:rsidR="19D9C376">
        <w:t>s</w:t>
      </w:r>
      <w:r>
        <w:t xml:space="preserve"> to working </w:t>
      </w:r>
      <w:r w:rsidRPr="003574CD">
        <w:t xml:space="preserve">with </w:t>
      </w:r>
      <w:r w:rsidR="2FAD0446">
        <w:t xml:space="preserve">the </w:t>
      </w:r>
      <w:r w:rsidRPr="003574CD">
        <w:t>California Workforce Development Board’s High Road Training Partnership</w:t>
      </w:r>
      <w:r w:rsidR="001D57B3">
        <w:rPr>
          <w:rStyle w:val="FootnoteReference"/>
        </w:rPr>
        <w:footnoteReference w:id="17"/>
      </w:r>
      <w:r w:rsidRPr="003574CD">
        <w:t xml:space="preserve"> and other</w:t>
      </w:r>
      <w:r w:rsidR="0608EB34">
        <w:t xml:space="preserve"> relevant</w:t>
      </w:r>
      <w:r w:rsidRPr="003574CD">
        <w:t xml:space="preserve"> wor</w:t>
      </w:r>
      <w:r>
        <w:t xml:space="preserve">kforce development programs to expand opportunities for </w:t>
      </w:r>
      <w:r w:rsidR="0608EB34">
        <w:t>H</w:t>
      </w:r>
      <w:r>
        <w:t xml:space="preserve">igh </w:t>
      </w:r>
      <w:r w:rsidR="0608EB34">
        <w:t>R</w:t>
      </w:r>
      <w:r>
        <w:t xml:space="preserve">oad employers and their employees in ESJ communities. Any incremental project costs associated with </w:t>
      </w:r>
      <w:r w:rsidR="584DD6BA">
        <w:t>High Road</w:t>
      </w:r>
      <w:r>
        <w:t xml:space="preserve"> workforce requirements will be covered by public </w:t>
      </w:r>
      <w:r w:rsidR="584DD6BA">
        <w:t xml:space="preserve">funding and will not be </w:t>
      </w:r>
      <w:r>
        <w:t>assigned to the occupant.</w:t>
      </w:r>
    </w:p>
    <w:p w14:paraId="3077D3E1" w14:textId="7F505F8A" w:rsidR="00FA566B" w:rsidRDefault="0023553F" w:rsidP="0041651B">
      <w:pPr>
        <w:pStyle w:val="Heading3"/>
      </w:pPr>
      <w:r>
        <w:t>Goal 8: Improve training and staff development related to environmental and social justice issues</w:t>
      </w:r>
      <w:r w:rsidR="00FA566B">
        <w:t xml:space="preserve"> </w:t>
      </w:r>
      <w:r>
        <w:t>within</w:t>
      </w:r>
      <w:r w:rsidR="00FA566B">
        <w:t xml:space="preserve"> </w:t>
      </w:r>
      <w:r>
        <w:t xml:space="preserve">the CPUC’s </w:t>
      </w:r>
      <w:r w:rsidR="00FA566B">
        <w:t>jurisdiction</w:t>
      </w:r>
    </w:p>
    <w:p w14:paraId="0B102530" w14:textId="6857A6CF" w:rsidR="000D5917" w:rsidRDefault="270098C7" w:rsidP="002D7651">
      <w:r>
        <w:t>[</w:t>
      </w:r>
      <w:r w:rsidR="584DD6BA">
        <w:t xml:space="preserve">Program </w:t>
      </w:r>
      <w:r>
        <w:t>Sponsor] commit</w:t>
      </w:r>
      <w:r w:rsidR="19D9C376">
        <w:t>s</w:t>
      </w:r>
      <w:r>
        <w:t xml:space="preserve"> to </w:t>
      </w:r>
      <w:r w:rsidR="170FE947">
        <w:t>monitor</w:t>
      </w:r>
      <w:r w:rsidR="584DD6BA">
        <w:t>ing</w:t>
      </w:r>
      <w:r w:rsidR="170FE947">
        <w:t xml:space="preserve"> and report</w:t>
      </w:r>
      <w:r w:rsidR="584DD6BA">
        <w:t>ing</w:t>
      </w:r>
      <w:r w:rsidR="170FE947">
        <w:t xml:space="preserve"> on </w:t>
      </w:r>
      <w:r w:rsidR="19D9C376">
        <w:t>Program</w:t>
      </w:r>
      <w:r w:rsidR="170FE947">
        <w:t xml:space="preserve"> performance relative to key</w:t>
      </w:r>
      <w:r>
        <w:t xml:space="preserve"> equity </w:t>
      </w:r>
      <w:r w:rsidR="170FE947">
        <w:t>metrics</w:t>
      </w:r>
      <w:r>
        <w:t xml:space="preserve"> </w:t>
      </w:r>
      <w:r w:rsidR="0DA35FBE">
        <w:t>in a way that can inform</w:t>
      </w:r>
      <w:r w:rsidR="030C86C7">
        <w:t xml:space="preserve"> and advance CPUC staff’s understanding o</w:t>
      </w:r>
      <w:r w:rsidR="771BDBC7">
        <w:t xml:space="preserve">f </w:t>
      </w:r>
      <w:r w:rsidR="499A110B">
        <w:t>ESJ</w:t>
      </w:r>
      <w:r w:rsidR="771BDBC7">
        <w:t xml:space="preserve"> issues</w:t>
      </w:r>
      <w:r w:rsidR="30382087">
        <w:t>.</w:t>
      </w:r>
      <w:r w:rsidR="0FFA3E42">
        <w:t xml:space="preserve"> Proposed metrics </w:t>
      </w:r>
      <w:r w:rsidR="4070724E">
        <w:t>are</w:t>
      </w:r>
      <w:r w:rsidR="7D678F00">
        <w:t xml:space="preserve"> listed under </w:t>
      </w:r>
      <w:r w:rsidR="7D678F00" w:rsidRPr="727BFE15">
        <w:rPr>
          <w:b/>
          <w:bCs/>
        </w:rPr>
        <w:t>Goal 9</w:t>
      </w:r>
      <w:r w:rsidR="7D678F00">
        <w:t>.</w:t>
      </w:r>
    </w:p>
    <w:p w14:paraId="6943377A" w14:textId="718A67D7" w:rsidR="0041651B" w:rsidRDefault="0023553F" w:rsidP="0041651B">
      <w:pPr>
        <w:pStyle w:val="Heading3"/>
      </w:pPr>
      <w:r>
        <w:t>Goal 9: Monitor the CPUC’s environmental and social justice efforts to evaluate how they are</w:t>
      </w:r>
      <w:r w:rsidR="0041651B">
        <w:t xml:space="preserve"> </w:t>
      </w:r>
      <w:r>
        <w:t>achieving</w:t>
      </w:r>
      <w:r w:rsidR="0041651B">
        <w:t xml:space="preserve"> </w:t>
      </w:r>
      <w:r>
        <w:t>their objectives</w:t>
      </w:r>
    </w:p>
    <w:p w14:paraId="45EF4A6D" w14:textId="2D650DCB" w:rsidR="009C554E" w:rsidRDefault="009C554E" w:rsidP="002A3946">
      <w:r>
        <w:t xml:space="preserve">The Tariffed On-Bill Investment </w:t>
      </w:r>
      <w:r w:rsidR="00FF62ED">
        <w:t>Program</w:t>
      </w:r>
      <w:r>
        <w:t xml:space="preserve"> will contribute directly to </w:t>
      </w:r>
      <w:r w:rsidR="001A7AB4">
        <w:t xml:space="preserve">the following </w:t>
      </w:r>
      <w:r w:rsidR="00C04CB8">
        <w:t xml:space="preserve">CPUC </w:t>
      </w:r>
      <w:r w:rsidR="001A7AB4">
        <w:t>Work Plan</w:t>
      </w:r>
      <w:r w:rsidR="00AC67CA">
        <w:t xml:space="preserve"> 2.0</w:t>
      </w:r>
      <w:r w:rsidR="00C04CB8">
        <w:t xml:space="preserve"> actions:</w:t>
      </w:r>
    </w:p>
    <w:p w14:paraId="75C495BA" w14:textId="2CB93634" w:rsidR="0043403C" w:rsidRDefault="79AFA21A" w:rsidP="00534B74">
      <w:pPr>
        <w:pStyle w:val="ListParagraph"/>
        <w:numPr>
          <w:ilvl w:val="2"/>
          <w:numId w:val="9"/>
        </w:numPr>
      </w:pPr>
      <w:r w:rsidRPr="727BFE15">
        <w:rPr>
          <w:b/>
          <w:bCs/>
        </w:rPr>
        <w:t>Alignment &amp; Coordination Across Marketing, Education &amp; Outreach (ME&amp;O) Plans.</w:t>
      </w:r>
      <w:r>
        <w:t xml:space="preserve"> The </w:t>
      </w:r>
      <w:r w:rsidR="19D9C376">
        <w:t>Program</w:t>
      </w:r>
      <w:r>
        <w:t xml:space="preserve"> will c</w:t>
      </w:r>
      <w:r w:rsidR="43F9361B">
        <w:t>ompare ME&amp;O plans of utilities and</w:t>
      </w:r>
      <w:r w:rsidR="63AC6605">
        <w:t xml:space="preserve"> adopt </w:t>
      </w:r>
      <w:r w:rsidR="43F9361B">
        <w:t xml:space="preserve">best practices </w:t>
      </w:r>
      <w:r w:rsidR="63AC6605">
        <w:t>when</w:t>
      </w:r>
      <w:r w:rsidR="43F9361B">
        <w:t xml:space="preserve"> appropriate</w:t>
      </w:r>
      <w:r w:rsidR="181D5D66">
        <w:t>.</w:t>
      </w:r>
    </w:p>
    <w:p w14:paraId="7CA4012D" w14:textId="17CDD2E3" w:rsidR="007C0528" w:rsidRDefault="7C9776F0" w:rsidP="00534B74">
      <w:pPr>
        <w:pStyle w:val="ListParagraph"/>
        <w:numPr>
          <w:ilvl w:val="2"/>
          <w:numId w:val="9"/>
        </w:numPr>
      </w:pPr>
      <w:r w:rsidRPr="727BFE15">
        <w:rPr>
          <w:b/>
          <w:bCs/>
        </w:rPr>
        <w:t>Improve Feedback Loop from Customers to Foster Iterative Process in Program Design.</w:t>
      </w:r>
      <w:r>
        <w:t xml:space="preserve">  The </w:t>
      </w:r>
      <w:r w:rsidR="19D9C376">
        <w:t>Program</w:t>
      </w:r>
      <w:r>
        <w:t xml:space="preserve"> will c</w:t>
      </w:r>
      <w:r w:rsidR="534CD197">
        <w:t xml:space="preserve">onduct workshops with program, community, and customer stakeholders to help </w:t>
      </w:r>
      <w:r w:rsidR="19D9C376">
        <w:t>Program</w:t>
      </w:r>
      <w:r w:rsidR="534CD197">
        <w:t xml:space="preserve"> design</w:t>
      </w:r>
      <w:r w:rsidR="5987E66A">
        <w:t>. It will also</w:t>
      </w:r>
      <w:r w:rsidR="292B0EBA">
        <w:t xml:space="preserve"> </w:t>
      </w:r>
      <w:r w:rsidR="534CD197">
        <w:t>track</w:t>
      </w:r>
      <w:r w:rsidR="6489C309">
        <w:t xml:space="preserve"> </w:t>
      </w:r>
      <w:r w:rsidR="181D5D66">
        <w:t>P</w:t>
      </w:r>
      <w:r w:rsidR="6489C309">
        <w:t>rogram performance relative to equity metrics</w:t>
      </w:r>
      <w:r w:rsidR="5987E66A">
        <w:t>.</w:t>
      </w:r>
    </w:p>
    <w:p w14:paraId="5091AD03" w14:textId="6B9480A6" w:rsidR="00534B74" w:rsidRDefault="69BD770B" w:rsidP="003A1EDB">
      <w:pPr>
        <w:ind w:left="1080" w:hanging="720"/>
      </w:pPr>
      <w:r>
        <w:t>2.3.2.</w:t>
      </w:r>
      <w:r w:rsidR="002F5B6D">
        <w:tab/>
      </w:r>
      <w:r w:rsidRPr="727BFE15">
        <w:rPr>
          <w:b/>
          <w:bCs/>
        </w:rPr>
        <w:t xml:space="preserve">Consider Streamlined Application Processes and Enhance Coordination for Low Income and Clean Energy Programs. </w:t>
      </w:r>
      <w:r w:rsidR="4A820F16">
        <w:t>[</w:t>
      </w:r>
      <w:r>
        <w:t xml:space="preserve">The </w:t>
      </w:r>
      <w:r w:rsidR="19D9C376">
        <w:t>Program</w:t>
      </w:r>
      <w:r>
        <w:t xml:space="preserve"> will </w:t>
      </w:r>
      <w:r w:rsidR="4A820F16">
        <w:t xml:space="preserve">use </w:t>
      </w:r>
      <w:r>
        <w:t>the TECH Iris platform for</w:t>
      </w:r>
      <w:r w:rsidR="1856F28C">
        <w:t xml:space="preserve"> integrating multiple incentives.</w:t>
      </w:r>
      <w:r w:rsidR="4A820F16">
        <w:t>]</w:t>
      </w:r>
    </w:p>
    <w:p w14:paraId="7C380D31" w14:textId="263A6F20" w:rsidR="00376FD1" w:rsidRDefault="3BBE74FE" w:rsidP="003A1EDB">
      <w:pPr>
        <w:ind w:left="1080" w:hanging="720"/>
      </w:pPr>
      <w:r>
        <w:t>2.3.3</w:t>
      </w:r>
      <w:r w:rsidR="00376FD1">
        <w:tab/>
      </w:r>
      <w:r w:rsidRPr="727BFE15">
        <w:rPr>
          <w:b/>
          <w:bCs/>
        </w:rPr>
        <w:t>Leverage Scale of California Alternative Rates for Energy (CARE) and Energy Savings Assistance (ESA) Programs to Cross-Refer to Other CPUC Initiatives.</w:t>
      </w:r>
      <w:r w:rsidR="10E817C1">
        <w:t xml:space="preserve"> When possible, the </w:t>
      </w:r>
      <w:r w:rsidR="19D9C376">
        <w:t>Program</w:t>
      </w:r>
      <w:r w:rsidR="10E817C1">
        <w:t xml:space="preserve"> will pursue opportunities to </w:t>
      </w:r>
      <w:r w:rsidR="215AFBE7">
        <w:t xml:space="preserve">use </w:t>
      </w:r>
      <w:r w:rsidR="6D6430FA">
        <w:t xml:space="preserve">CARE and </w:t>
      </w:r>
      <w:r w:rsidR="10E817C1">
        <w:t>ESA services and combine them with TOB investments.</w:t>
      </w:r>
    </w:p>
    <w:p w14:paraId="4F027A18" w14:textId="4928CE0D" w:rsidR="00777D4D" w:rsidRDefault="7C6D0815" w:rsidP="003A1EDB">
      <w:pPr>
        <w:ind w:left="1080" w:hanging="720"/>
      </w:pPr>
      <w:r>
        <w:t>2.5.2</w:t>
      </w:r>
      <w:r w:rsidR="00777D4D">
        <w:tab/>
      </w:r>
      <w:r w:rsidRPr="727BFE15">
        <w:rPr>
          <w:b/>
          <w:bCs/>
        </w:rPr>
        <w:t xml:space="preserve">Continue Prioritization of ESJ Communities in Building Decarbonization Programs. </w:t>
      </w:r>
      <w:r>
        <w:t xml:space="preserve">The TOB </w:t>
      </w:r>
      <w:r w:rsidR="19D9C376">
        <w:t>Program</w:t>
      </w:r>
      <w:r>
        <w:t xml:space="preserve"> offers </w:t>
      </w:r>
      <w:r w:rsidR="2C138D3E">
        <w:t>an</w:t>
      </w:r>
      <w:r>
        <w:t xml:space="preserve"> opportunity to </w:t>
      </w:r>
      <w:r w:rsidR="401F8150">
        <w:t>prioritize equity-targeted investments</w:t>
      </w:r>
      <w:r w:rsidR="322E0B2B">
        <w:t>.</w:t>
      </w:r>
    </w:p>
    <w:p w14:paraId="56CE7F5A" w14:textId="1EBC83EE" w:rsidR="00CE7B36" w:rsidRDefault="3E65E1C6" w:rsidP="003A1EDB">
      <w:pPr>
        <w:ind w:left="1080" w:hanging="720"/>
      </w:pPr>
      <w:r>
        <w:t>2.5.3</w:t>
      </w:r>
      <w:r w:rsidR="004F6D18">
        <w:tab/>
      </w:r>
      <w:r w:rsidRPr="727BFE15">
        <w:rPr>
          <w:b/>
          <w:bCs/>
        </w:rPr>
        <w:t xml:space="preserve">Expand Investment in Electrification in San Joaquin Valley </w:t>
      </w:r>
      <w:r w:rsidR="322E0B2B" w:rsidRPr="727BFE15">
        <w:rPr>
          <w:b/>
          <w:bCs/>
        </w:rPr>
        <w:t>P</w:t>
      </w:r>
      <w:r w:rsidRPr="727BFE15">
        <w:rPr>
          <w:b/>
          <w:bCs/>
        </w:rPr>
        <w:t>roceeding.</w:t>
      </w:r>
      <w:r>
        <w:t xml:space="preserve"> The </w:t>
      </w:r>
      <w:r w:rsidR="19D9C376">
        <w:t>Program</w:t>
      </w:r>
      <w:r>
        <w:t xml:space="preserve"> will continue to monitor developments in the proceeding and incorporate lessons learned.</w:t>
      </w:r>
    </w:p>
    <w:p w14:paraId="4E87D1CD" w14:textId="367333AF" w:rsidR="00032410" w:rsidRDefault="0F77957B" w:rsidP="003A1EDB">
      <w:pPr>
        <w:ind w:left="1080" w:hanging="720"/>
      </w:pPr>
      <w:r>
        <w:t>5.2.1</w:t>
      </w:r>
      <w:r w:rsidR="00032410">
        <w:tab/>
      </w:r>
      <w:r w:rsidRPr="727BFE15">
        <w:rPr>
          <w:b/>
          <w:bCs/>
        </w:rPr>
        <w:t xml:space="preserve">Statewide Mapping of Engagement </w:t>
      </w:r>
      <w:r w:rsidR="14BB5BF7" w:rsidRPr="727BFE15">
        <w:rPr>
          <w:b/>
          <w:bCs/>
        </w:rPr>
        <w:t xml:space="preserve">with </w:t>
      </w:r>
      <w:r w:rsidRPr="727BFE15">
        <w:rPr>
          <w:b/>
          <w:bCs/>
        </w:rPr>
        <w:t>CBOs.</w:t>
      </w:r>
      <w:r>
        <w:t xml:space="preserve"> </w:t>
      </w:r>
      <w:r w:rsidR="306EFD9A">
        <w:t xml:space="preserve">The </w:t>
      </w:r>
      <w:r w:rsidR="19D9C376">
        <w:t>Program</w:t>
      </w:r>
      <w:r w:rsidR="306EFD9A">
        <w:t xml:space="preserve"> will confer with the </w:t>
      </w:r>
      <w:r w:rsidR="14BB5BF7">
        <w:t xml:space="preserve">CPUC’s </w:t>
      </w:r>
      <w:r w:rsidR="306EFD9A">
        <w:t>News and Outreach Office to identify opportunities to partner with</w:t>
      </w:r>
      <w:r w:rsidR="395A9426">
        <w:t xml:space="preserve"> CBOs.</w:t>
      </w:r>
    </w:p>
    <w:p w14:paraId="095ADA7F" w14:textId="48493334" w:rsidR="00D35A04" w:rsidRDefault="24D2A3B1" w:rsidP="003A1EDB">
      <w:pPr>
        <w:ind w:left="1080" w:hanging="720"/>
      </w:pPr>
      <w:r>
        <w:t>7.1.1</w:t>
      </w:r>
      <w:r w:rsidR="00D35A04">
        <w:tab/>
      </w:r>
      <w:r w:rsidRPr="727BFE15">
        <w:rPr>
          <w:b/>
          <w:bCs/>
        </w:rPr>
        <w:t xml:space="preserve">Implementation of </w:t>
      </w:r>
      <w:r w:rsidR="177C0EC6" w:rsidRPr="727BFE15">
        <w:rPr>
          <w:b/>
          <w:bCs/>
        </w:rPr>
        <w:t xml:space="preserve">an </w:t>
      </w:r>
      <w:r w:rsidRPr="727BFE15">
        <w:rPr>
          <w:b/>
          <w:bCs/>
        </w:rPr>
        <w:t xml:space="preserve">MOU with </w:t>
      </w:r>
      <w:bookmarkStart w:id="13" w:name="_Int_cHOae3V4"/>
      <w:r w:rsidR="177C0EC6" w:rsidRPr="727BFE15">
        <w:rPr>
          <w:b/>
          <w:bCs/>
        </w:rPr>
        <w:t>the California</w:t>
      </w:r>
      <w:bookmarkEnd w:id="13"/>
      <w:r w:rsidR="177C0EC6" w:rsidRPr="727BFE15">
        <w:rPr>
          <w:b/>
          <w:bCs/>
        </w:rPr>
        <w:t xml:space="preserve"> </w:t>
      </w:r>
      <w:r w:rsidRPr="727BFE15">
        <w:rPr>
          <w:b/>
          <w:bCs/>
        </w:rPr>
        <w:t>Workforce Development Board.</w:t>
      </w:r>
      <w:r>
        <w:t xml:space="preserve"> The </w:t>
      </w:r>
      <w:r w:rsidR="19D9C376">
        <w:t>Program</w:t>
      </w:r>
      <w:r>
        <w:t xml:space="preserve"> will</w:t>
      </w:r>
      <w:r w:rsidR="3E1DCED3">
        <w:t xml:space="preserve"> work</w:t>
      </w:r>
      <w:r>
        <w:t xml:space="preserve"> </w:t>
      </w:r>
      <w:r w:rsidR="3E1DCED3">
        <w:t xml:space="preserve">with California Workforce Development Board’s High Road Training Partnership and other workforce development programs </w:t>
      </w:r>
      <w:r w:rsidR="177C0EC6">
        <w:t xml:space="preserve">on </w:t>
      </w:r>
      <w:r>
        <w:t xml:space="preserve">opportunities </w:t>
      </w:r>
      <w:r w:rsidR="1220E8CA">
        <w:t xml:space="preserve">to expand </w:t>
      </w:r>
      <w:r w:rsidR="2CADED04">
        <w:t>the number of H</w:t>
      </w:r>
      <w:r w:rsidR="1220E8CA">
        <w:t xml:space="preserve">igh </w:t>
      </w:r>
      <w:r w:rsidR="2CADED04">
        <w:t>R</w:t>
      </w:r>
      <w:r w:rsidR="1220E8CA">
        <w:t>oad employers and their employees in ESJ communities</w:t>
      </w:r>
    </w:p>
    <w:p w14:paraId="74082B87" w14:textId="02E0249C" w:rsidR="00C04CB8" w:rsidRDefault="5AD7BEA5" w:rsidP="009E6A86">
      <w:pPr>
        <w:ind w:left="1080" w:hanging="720"/>
      </w:pPr>
      <w:r>
        <w:t>9.1.2</w:t>
      </w:r>
      <w:r w:rsidR="00633ADF">
        <w:tab/>
      </w:r>
      <w:r w:rsidRPr="00633ADF">
        <w:rPr>
          <w:b/>
          <w:bCs/>
        </w:rPr>
        <w:t xml:space="preserve">Data Collection: Standardizing Data Requests &amp; Key ESJ Indicators. </w:t>
      </w:r>
      <w:r>
        <w:t xml:space="preserve">The </w:t>
      </w:r>
      <w:r w:rsidR="19D9C376">
        <w:t>Program</w:t>
      </w:r>
      <w:r>
        <w:t xml:space="preserve"> will track and report on key equity metrics, as adapted from</w:t>
      </w:r>
      <w:r w:rsidR="09CDBED8">
        <w:t xml:space="preserve"> </w:t>
      </w:r>
      <w:r w:rsidR="7102074E">
        <w:t xml:space="preserve">the California Energy Efficiency Coordinating Committee’s </w:t>
      </w:r>
      <w:r w:rsidR="09CDBED8">
        <w:t>Equity Metrics W</w:t>
      </w:r>
      <w:r>
        <w:t xml:space="preserve">orking </w:t>
      </w:r>
      <w:r w:rsidR="09CDBED8">
        <w:t>G</w:t>
      </w:r>
      <w:r>
        <w:t>roup</w:t>
      </w:r>
      <w:r w:rsidR="00E0670C">
        <w:rPr>
          <w:rStyle w:val="FootnoteReference"/>
        </w:rPr>
        <w:footnoteReference w:id="18"/>
      </w:r>
      <w:r>
        <w:t xml:space="preserve"> recommendations.</w:t>
      </w:r>
      <w:r w:rsidR="00E35325">
        <w:t xml:space="preserve"> The </w:t>
      </w:r>
      <w:r w:rsidR="19D9C376">
        <w:t>Program</w:t>
      </w:r>
      <w:r w:rsidR="3FD0845A" w:rsidRPr="008735AE">
        <w:t xml:space="preserve"> will </w:t>
      </w:r>
      <w:r w:rsidR="7D678F00" w:rsidRPr="008735AE">
        <w:t>monitor and report on</w:t>
      </w:r>
      <w:r w:rsidR="3FD0845A" w:rsidRPr="008735AE">
        <w:t xml:space="preserve"> the following </w:t>
      </w:r>
      <w:r w:rsidR="03FE5F83">
        <w:t>e</w:t>
      </w:r>
      <w:r w:rsidR="56A91EC7" w:rsidRPr="008735AE">
        <w:t xml:space="preserve">nergy </w:t>
      </w:r>
      <w:r w:rsidR="03FE5F83">
        <w:t>e</w:t>
      </w:r>
      <w:r w:rsidR="56A91EC7" w:rsidRPr="008735AE">
        <w:t xml:space="preserve">quity </w:t>
      </w:r>
      <w:r w:rsidR="03FE5F83">
        <w:t>i</w:t>
      </w:r>
      <w:r w:rsidR="56A91EC7" w:rsidRPr="008735AE">
        <w:t>ndicators</w:t>
      </w:r>
      <w:r w:rsidR="03FE5F83">
        <w:t>:</w:t>
      </w:r>
    </w:p>
    <w:p w14:paraId="1B23F012" w14:textId="01F3500E" w:rsidR="008735AE" w:rsidRDefault="008735AE" w:rsidP="006907F8">
      <w:pPr>
        <w:pStyle w:val="ListParagraph"/>
        <w:numPr>
          <w:ilvl w:val="0"/>
          <w:numId w:val="32"/>
        </w:numPr>
        <w:ind w:left="1800"/>
      </w:pPr>
      <w:r w:rsidRPr="001102C2">
        <w:t xml:space="preserve">Total </w:t>
      </w:r>
      <w:r>
        <w:t>number of</w:t>
      </w:r>
      <w:r w:rsidRPr="001102C2">
        <w:t xml:space="preserve"> residential equity-targeted households served</w:t>
      </w:r>
    </w:p>
    <w:p w14:paraId="23C02021" w14:textId="77777777" w:rsidR="008735AE" w:rsidRDefault="008735AE" w:rsidP="006907F8">
      <w:pPr>
        <w:pStyle w:val="ListParagraph"/>
        <w:numPr>
          <w:ilvl w:val="0"/>
          <w:numId w:val="32"/>
        </w:numPr>
        <w:ind w:left="1800"/>
      </w:pPr>
      <w:r w:rsidRPr="00400E05">
        <w:t xml:space="preserve">Expected first-year </w:t>
      </w:r>
      <w:r>
        <w:t xml:space="preserve">energy, GHG, and utility </w:t>
      </w:r>
      <w:r w:rsidRPr="00400E05">
        <w:t xml:space="preserve">bill savings </w:t>
      </w:r>
      <w:r>
        <w:t>for e</w:t>
      </w:r>
      <w:r w:rsidRPr="00400E05">
        <w:t>quity-targeted participants</w:t>
      </w:r>
    </w:p>
    <w:p w14:paraId="1C9D695B" w14:textId="1176DB2B" w:rsidR="008735AE" w:rsidRDefault="74647161" w:rsidP="006907F8">
      <w:pPr>
        <w:pStyle w:val="ListParagraph"/>
        <w:numPr>
          <w:ilvl w:val="0"/>
          <w:numId w:val="32"/>
        </w:numPr>
        <w:ind w:left="1800"/>
      </w:pPr>
      <w:r>
        <w:t>Number of residential equity-targeted households receiving upgrades that are expected to improve home comfort, safety, and health outcomes</w:t>
      </w:r>
    </w:p>
    <w:p w14:paraId="7B20525F" w14:textId="55D0D5E7" w:rsidR="00A04052" w:rsidRDefault="04A9486C" w:rsidP="006907F8">
      <w:pPr>
        <w:pStyle w:val="ListParagraph"/>
        <w:numPr>
          <w:ilvl w:val="0"/>
          <w:numId w:val="32"/>
        </w:numPr>
        <w:ind w:left="1800"/>
      </w:pPr>
      <w:r>
        <w:t>Types of h</w:t>
      </w:r>
      <w:r w:rsidR="5A6111FF">
        <w:t>ealth and safety issues abated for equity-targeted households</w:t>
      </w:r>
    </w:p>
    <w:p w14:paraId="5DDF99F4" w14:textId="2EA7020E" w:rsidR="008735AE" w:rsidRDefault="18539166" w:rsidP="006907F8">
      <w:pPr>
        <w:pStyle w:val="ListParagraph"/>
        <w:numPr>
          <w:ilvl w:val="0"/>
          <w:numId w:val="32"/>
        </w:numPr>
        <w:ind w:left="1800"/>
      </w:pPr>
      <w:r>
        <w:t>Number of residential equity-targeted households that could not be served</w:t>
      </w:r>
      <w:r w:rsidR="04A9486C">
        <w:t xml:space="preserve"> because </w:t>
      </w:r>
      <w:r w:rsidR="7E4F72B2">
        <w:t xml:space="preserve">of a need for essential </w:t>
      </w:r>
      <w:r>
        <w:t>home repairs</w:t>
      </w:r>
    </w:p>
    <w:p w14:paraId="5AF2A990" w14:textId="6C2F78AD" w:rsidR="000268C7" w:rsidRDefault="03E0CD12" w:rsidP="009E6A86">
      <w:pPr>
        <w:ind w:left="1080"/>
      </w:pPr>
      <w:r>
        <w:t>For tracking and reporting</w:t>
      </w:r>
      <w:r w:rsidR="2A8A636F">
        <w:t xml:space="preserve">, </w:t>
      </w:r>
      <w:r w:rsidR="0E69779C">
        <w:t xml:space="preserve">the </w:t>
      </w:r>
      <w:r w:rsidR="19D9C376">
        <w:t>Program</w:t>
      </w:r>
      <w:r w:rsidR="0E69779C">
        <w:t xml:space="preserve"> will rely on indicators to identify ESJ households and communities:</w:t>
      </w:r>
    </w:p>
    <w:p w14:paraId="1E01D2BA" w14:textId="37400F3A" w:rsidR="00A90BEF" w:rsidRDefault="05181116" w:rsidP="008A11C0">
      <w:pPr>
        <w:pStyle w:val="ListParagraph"/>
        <w:numPr>
          <w:ilvl w:val="0"/>
          <w:numId w:val="11"/>
        </w:numPr>
        <w:ind w:left="1800"/>
      </w:pPr>
      <w:r>
        <w:t xml:space="preserve">Disadvantage </w:t>
      </w:r>
      <w:r w:rsidR="26EBF975">
        <w:t>c</w:t>
      </w:r>
      <w:r>
        <w:t>ommunities</w:t>
      </w:r>
      <w:r w:rsidR="00293BF4">
        <w:rPr>
          <w:rStyle w:val="FootnoteReference"/>
        </w:rPr>
        <w:footnoteReference w:id="19"/>
      </w:r>
      <w:r>
        <w:t xml:space="preserve"> located in the top 25 percent of census tracts identified by Cal EPA’s CalEnviroScreen</w:t>
      </w:r>
      <w:r w:rsidR="535CFEEF">
        <w:t xml:space="preserve"> 4.0</w:t>
      </w:r>
    </w:p>
    <w:p w14:paraId="180F469B" w14:textId="6A6DBAB8" w:rsidR="00A468ED" w:rsidRDefault="00FE6FD7" w:rsidP="008A11C0">
      <w:pPr>
        <w:pStyle w:val="ListParagraph"/>
        <w:numPr>
          <w:ilvl w:val="0"/>
          <w:numId w:val="11"/>
        </w:numPr>
        <w:ind w:left="1800"/>
      </w:pPr>
      <w:r>
        <w:t>Households located in t</w:t>
      </w:r>
      <w:r w:rsidR="00A468ED">
        <w:t>ribal lands</w:t>
      </w:r>
    </w:p>
    <w:p w14:paraId="159CD572" w14:textId="7AB7B5DE" w:rsidR="00A90BEF" w:rsidRDefault="00A90BEF" w:rsidP="008A11C0">
      <w:pPr>
        <w:pStyle w:val="ListParagraph"/>
        <w:numPr>
          <w:ilvl w:val="0"/>
          <w:numId w:val="11"/>
        </w:numPr>
        <w:ind w:left="1800"/>
      </w:pPr>
      <w:r>
        <w:t>Census tracts with median household income less than 80</w:t>
      </w:r>
      <w:r w:rsidR="004D7DAC">
        <w:t xml:space="preserve"> percent of the area or state median income</w:t>
      </w:r>
    </w:p>
    <w:p w14:paraId="74C905FF" w14:textId="4E8F89E9" w:rsidR="001C48AE" w:rsidRDefault="62314FD5" w:rsidP="008A11C0">
      <w:pPr>
        <w:pStyle w:val="ListParagraph"/>
        <w:numPr>
          <w:ilvl w:val="0"/>
          <w:numId w:val="11"/>
        </w:numPr>
        <w:ind w:left="1800"/>
      </w:pPr>
      <w:r>
        <w:t xml:space="preserve">Low-income households, as indicated by their enrollment in the CARE or </w:t>
      </w:r>
      <w:r w:rsidR="01B6A592">
        <w:t>Family Electric Rate Assistance (</w:t>
      </w:r>
      <w:r>
        <w:t>FERA</w:t>
      </w:r>
      <w:r w:rsidR="01B6A592">
        <w:t>)</w:t>
      </w:r>
      <w:r>
        <w:t xml:space="preserve"> programs</w:t>
      </w:r>
    </w:p>
    <w:p w14:paraId="7C8504B5" w14:textId="33E66838" w:rsidR="00923583" w:rsidRDefault="511FA637" w:rsidP="008A11C0">
      <w:pPr>
        <w:pStyle w:val="ListParagraph"/>
        <w:numPr>
          <w:ilvl w:val="0"/>
          <w:numId w:val="11"/>
        </w:numPr>
      </w:pPr>
      <w:r>
        <w:t>9.2.1</w:t>
      </w:r>
      <w:r w:rsidR="00923583">
        <w:tab/>
      </w:r>
      <w:r w:rsidRPr="727BFE15">
        <w:rPr>
          <w:b/>
          <w:bCs/>
        </w:rPr>
        <w:t>Metrics to Measure Satisfaction, Comprehension, and Experience.</w:t>
      </w:r>
      <w:r>
        <w:t xml:space="preserve"> The </w:t>
      </w:r>
      <w:r w:rsidR="19D9C376">
        <w:t>Program</w:t>
      </w:r>
      <w:r>
        <w:t xml:space="preserve"> will conduct periodic assessments </w:t>
      </w:r>
      <w:r w:rsidR="77767CB5">
        <w:t xml:space="preserve">of occupant </w:t>
      </w:r>
      <w:r>
        <w:t>comprehension</w:t>
      </w:r>
      <w:r w:rsidR="77767CB5">
        <w:t xml:space="preserve"> of the Program and measures</w:t>
      </w:r>
      <w:r>
        <w:t xml:space="preserve">, satisfaction, and effectiveness of </w:t>
      </w:r>
      <w:r w:rsidR="77767CB5">
        <w:t>P</w:t>
      </w:r>
      <w:r>
        <w:t>rogram marketing,</w:t>
      </w:r>
      <w:r w:rsidR="00A71984">
        <w:t xml:space="preserve"> education,</w:t>
      </w:r>
      <w:r w:rsidR="00A71984" w:rsidDel="00A71984">
        <w:t xml:space="preserve"> </w:t>
      </w:r>
      <w:r>
        <w:t>and outreach. Results will inform enhancements to program delivery.</w:t>
      </w:r>
    </w:p>
    <w:p w14:paraId="3692B2A9" w14:textId="520766DE" w:rsidR="00022AB9" w:rsidRDefault="00022AB9" w:rsidP="002D7C9B">
      <w:pPr>
        <w:pStyle w:val="Heading1"/>
      </w:pPr>
      <w:bookmarkStart w:id="14" w:name="_Toc98921602"/>
      <w:r>
        <w:t xml:space="preserve">PART II: Financing </w:t>
      </w:r>
      <w:r w:rsidR="002D7C9B">
        <w:t>P</w:t>
      </w:r>
      <w:r>
        <w:t xml:space="preserve">rogram </w:t>
      </w:r>
      <w:r w:rsidR="002D7C9B">
        <w:t>R</w:t>
      </w:r>
      <w:r>
        <w:t>equirements</w:t>
      </w:r>
      <w:bookmarkEnd w:id="14"/>
    </w:p>
    <w:p w14:paraId="13A213DB" w14:textId="1B134D30" w:rsidR="00022AB9" w:rsidRDefault="00022AB9" w:rsidP="00F51DAC">
      <w:pPr>
        <w:pStyle w:val="Heading2"/>
      </w:pPr>
      <w:bookmarkStart w:id="15" w:name="_Toc98921603"/>
      <w:r>
        <w:t xml:space="preserve">Financial </w:t>
      </w:r>
      <w:r w:rsidR="00F51DAC">
        <w:t>P</w:t>
      </w:r>
      <w:r>
        <w:t xml:space="preserve">roduct </w:t>
      </w:r>
      <w:r w:rsidR="00F51DAC">
        <w:t>D</w:t>
      </w:r>
      <w:r>
        <w:t xml:space="preserve">escription and </w:t>
      </w:r>
      <w:r w:rsidR="00B01BAF">
        <w:t>P</w:t>
      </w:r>
      <w:r>
        <w:t xml:space="preserve">rogram </w:t>
      </w:r>
      <w:r w:rsidR="00B01BAF">
        <w:t>D</w:t>
      </w:r>
      <w:r>
        <w:t>evelopment</w:t>
      </w:r>
      <w:bookmarkEnd w:id="15"/>
    </w:p>
    <w:p w14:paraId="37F71F75" w14:textId="4FA3F7DC" w:rsidR="00112507" w:rsidRDefault="4051D887" w:rsidP="00112507">
      <w:pPr>
        <w:pStyle w:val="Heading3"/>
      </w:pPr>
      <w:r>
        <w:t>Investment Mechanism Description</w:t>
      </w:r>
    </w:p>
    <w:p w14:paraId="4BF4AFBC" w14:textId="77777777" w:rsidR="0026603C" w:rsidRDefault="45A6BF81" w:rsidP="727BFE15">
      <w:pPr>
        <w:pStyle w:val="NormalWeb"/>
        <w:rPr>
          <w:i/>
          <w:iCs/>
        </w:rPr>
      </w:pPr>
      <w:r w:rsidRPr="727BFE15">
        <w:rPr>
          <w:i/>
          <w:iCs/>
        </w:rPr>
        <w:t>From the CPUC:</w:t>
      </w:r>
    </w:p>
    <w:p w14:paraId="1E38B4D3" w14:textId="3ADD9600" w:rsidR="0026603C" w:rsidRPr="0026603C" w:rsidRDefault="45A6BF81" w:rsidP="727BFE15">
      <w:pPr>
        <w:pStyle w:val="NormalWeb"/>
        <w:rPr>
          <w:i/>
          <w:iCs/>
        </w:rPr>
      </w:pPr>
      <w:r w:rsidRPr="727BFE15">
        <w:rPr>
          <w:i/>
          <w:iCs/>
        </w:rPr>
        <w:t>Describe the financing mechanism and</w:t>
      </w:r>
      <w:r w:rsidR="32C63DA5" w:rsidRPr="727BFE15">
        <w:rPr>
          <w:i/>
          <w:iCs/>
        </w:rPr>
        <w:t xml:space="preserve"> </w:t>
      </w:r>
      <w:r w:rsidRPr="727BFE15">
        <w:rPr>
          <w:i/>
          <w:iCs/>
        </w:rPr>
        <w:t>/</w:t>
      </w:r>
      <w:r w:rsidR="32C63DA5" w:rsidRPr="727BFE15">
        <w:rPr>
          <w:i/>
          <w:iCs/>
        </w:rPr>
        <w:t xml:space="preserve"> </w:t>
      </w:r>
      <w:r w:rsidRPr="727BFE15">
        <w:rPr>
          <w:i/>
          <w:iCs/>
        </w:rPr>
        <w:t>or proposed financial product offered through the program.</w:t>
      </w:r>
    </w:p>
    <w:p w14:paraId="472AAE4E" w14:textId="6FF6E38E" w:rsidR="00F9161F" w:rsidRPr="001360E0" w:rsidRDefault="5324E938" w:rsidP="001360E0">
      <w:pPr>
        <w:pStyle w:val="NormalWeb"/>
      </w:pPr>
      <w:r>
        <w:t xml:space="preserve">The intent of the </w:t>
      </w:r>
      <w:r w:rsidR="19D9C376">
        <w:t>Program</w:t>
      </w:r>
      <w:r>
        <w:t xml:space="preserve"> is to expand customer access to capital to include customers </w:t>
      </w:r>
      <w:r w:rsidR="32C63DA5">
        <w:t>who</w:t>
      </w:r>
      <w:r>
        <w:t xml:space="preserve"> are typically disqualified </w:t>
      </w:r>
      <w:r w:rsidR="32C63DA5">
        <w:t xml:space="preserve">because they have </w:t>
      </w:r>
      <w:r>
        <w:t xml:space="preserve">high debt-to-income ratios, poor credit, low </w:t>
      </w:r>
      <w:r w:rsidR="049F29C4">
        <w:t xml:space="preserve">amounts of </w:t>
      </w:r>
      <w:r>
        <w:t xml:space="preserve">home equity, or </w:t>
      </w:r>
      <w:r w:rsidR="049F29C4">
        <w:t xml:space="preserve">are </w:t>
      </w:r>
      <w:r>
        <w:t>renter</w:t>
      </w:r>
      <w:r w:rsidR="049F29C4">
        <w:t>s</w:t>
      </w:r>
      <w:r>
        <w:t xml:space="preserve">. </w:t>
      </w:r>
      <w:r w:rsidR="717FE560">
        <w:t xml:space="preserve">Taken together, </w:t>
      </w:r>
      <w:r w:rsidR="19D9C376">
        <w:t>Program</w:t>
      </w:r>
      <w:r>
        <w:t xml:space="preserve"> results will provide empirical proof of concept to inform </w:t>
      </w:r>
      <w:r w:rsidR="717FE560">
        <w:t xml:space="preserve">the </w:t>
      </w:r>
      <w:r>
        <w:t xml:space="preserve">planning and launch of </w:t>
      </w:r>
      <w:r w:rsidR="717FE560">
        <w:t xml:space="preserve">a </w:t>
      </w:r>
      <w:r>
        <w:t>statewide Tariffed On-Bill investment mechanism(s).</w:t>
      </w:r>
    </w:p>
    <w:p w14:paraId="4BD84EEE" w14:textId="6B78539F" w:rsidR="00D141F9" w:rsidRDefault="6568827A" w:rsidP="00D141F9">
      <w:r>
        <w:t>The proposed investment mechanism is a</w:t>
      </w:r>
      <w:r w:rsidR="157C2DF7">
        <w:t xml:space="preserve"> special-purpose tariff with terms of service that allow the utility to invest in upgrades at a </w:t>
      </w:r>
      <w:r w:rsidR="157C2DF7" w:rsidRPr="727BFE15">
        <w:rPr>
          <w:i/>
          <w:iCs/>
        </w:rPr>
        <w:t>specific site</w:t>
      </w:r>
      <w:r w:rsidR="157C2DF7">
        <w:t xml:space="preserve"> in its service area</w:t>
      </w:r>
      <w:r w:rsidR="717FE560">
        <w:t>,</w:t>
      </w:r>
      <w:r w:rsidR="157C2DF7">
        <w:t xml:space="preserve"> and </w:t>
      </w:r>
      <w:r w:rsidR="717FE560">
        <w:t xml:space="preserve">to </w:t>
      </w:r>
      <w:r w:rsidR="157C2DF7">
        <w:t xml:space="preserve">recover its cost for that investment from that site through a charge </w:t>
      </w:r>
      <w:r w:rsidR="157C2DF7" w:rsidRPr="727BFE15">
        <w:rPr>
          <w:i/>
          <w:iCs/>
        </w:rPr>
        <w:t xml:space="preserve">on the </w:t>
      </w:r>
      <w:r w:rsidR="0990BCCE" w:rsidRPr="727BFE15">
        <w:rPr>
          <w:i/>
          <w:iCs/>
        </w:rPr>
        <w:t xml:space="preserve">customer </w:t>
      </w:r>
      <w:r w:rsidR="157C2DF7" w:rsidRPr="727BFE15">
        <w:rPr>
          <w:i/>
          <w:iCs/>
        </w:rPr>
        <w:t>bill</w:t>
      </w:r>
      <w:r w:rsidR="0990BCCE" w:rsidRPr="727BFE15">
        <w:rPr>
          <w:i/>
          <w:iCs/>
        </w:rPr>
        <w:t xml:space="preserve">. </w:t>
      </w:r>
      <w:r w:rsidR="0990BCCE">
        <w:t xml:space="preserve">The charge must be </w:t>
      </w:r>
      <w:r w:rsidR="157C2DF7">
        <w:t xml:space="preserve">less than the estimated savings. The name </w:t>
      </w:r>
      <w:r w:rsidR="157C2DF7" w:rsidRPr="727BFE15">
        <w:rPr>
          <w:i/>
          <w:iCs/>
        </w:rPr>
        <w:t>tariffed on-bill</w:t>
      </w:r>
      <w:r w:rsidR="157C2DF7">
        <w:t xml:space="preserve"> is a literal description of the mechanism that allows a utility to deploy capital to cost-effective upgrades at the grid edge (</w:t>
      </w:r>
      <w:r w:rsidR="676B6CEE">
        <w:t xml:space="preserve">that is, </w:t>
      </w:r>
      <w:r w:rsidR="157C2DF7">
        <w:t>on the customer’s side of the meter)</w:t>
      </w:r>
      <w:r w:rsidR="09508392">
        <w:t>. The mechanism also contains a</w:t>
      </w:r>
      <w:r w:rsidR="157C2DF7">
        <w:t>n assurance that the utility will be able to recover its cost on terms that meet basic tenets of economic regulation in the utility sector: non-discriminatory, cost-based, just, reasonable, and fair.</w:t>
      </w:r>
    </w:p>
    <w:p w14:paraId="7C456CC7" w14:textId="77F38183" w:rsidR="00D141F9" w:rsidRDefault="09423E87" w:rsidP="00D141F9">
      <w:pPr>
        <w:tabs>
          <w:tab w:val="left" w:pos="1680"/>
        </w:tabs>
      </w:pPr>
      <w:r>
        <w:t>This plan proposes</w:t>
      </w:r>
      <w:r w:rsidR="157C2DF7">
        <w:t xml:space="preserve"> a tariff obligation for a site-specific decarbonization investment with a monthly </w:t>
      </w:r>
      <w:r w:rsidR="079E8B9E">
        <w:t xml:space="preserve">Program </w:t>
      </w:r>
      <w:r w:rsidR="453F4B88">
        <w:t>S</w:t>
      </w:r>
      <w:r w:rsidR="079E8B9E">
        <w:t xml:space="preserve">ervice </w:t>
      </w:r>
      <w:r w:rsidR="453F4B88">
        <w:t>C</w:t>
      </w:r>
      <w:r w:rsidR="079E8B9E">
        <w:t>harge</w:t>
      </w:r>
      <w:r w:rsidR="157C2DF7">
        <w:t xml:space="preserve"> assigned to the meter location</w:t>
      </w:r>
      <w:r w:rsidR="71887547">
        <w:t>,</w:t>
      </w:r>
      <w:r w:rsidR="157C2DF7">
        <w:t xml:space="preserve"> and thus </w:t>
      </w:r>
      <w:r w:rsidR="7C396161">
        <w:t xml:space="preserve">also </w:t>
      </w:r>
      <w:r w:rsidR="157C2DF7">
        <w:t xml:space="preserve">to successor occupants / end users. The exact amount of the obligation </w:t>
      </w:r>
      <w:r w:rsidR="54F584D4">
        <w:t>will</w:t>
      </w:r>
      <w:r w:rsidR="157C2DF7">
        <w:t xml:space="preserve"> be based on the scale of the investment made at the site</w:t>
      </w:r>
      <w:r w:rsidR="34011531">
        <w:t xml:space="preserve"> and the expected bill savings</w:t>
      </w:r>
      <w:r w:rsidR="157C2DF7">
        <w:t xml:space="preserve">, </w:t>
      </w:r>
      <w:r w:rsidR="684FB9FB">
        <w:t>after accounting for</w:t>
      </w:r>
      <w:r w:rsidR="157C2DF7">
        <w:t xml:space="preserve"> any </w:t>
      </w:r>
      <w:r w:rsidR="5C7E5BA2">
        <w:t xml:space="preserve">incentives and </w:t>
      </w:r>
      <w:r w:rsidR="157C2DF7">
        <w:t xml:space="preserve">co-payments made by others. </w:t>
      </w:r>
    </w:p>
    <w:p w14:paraId="0E6B10E5" w14:textId="7C57A615" w:rsidR="00D141F9" w:rsidRDefault="157C2DF7" w:rsidP="00D141F9">
      <w:pPr>
        <w:spacing w:after="60"/>
      </w:pPr>
      <w:r>
        <w:t>The Program adopts the following design parameters:</w:t>
      </w:r>
      <w:r w:rsidR="00D141F9">
        <w:rPr>
          <w:rStyle w:val="FootnoteReference"/>
        </w:rPr>
        <w:footnoteReference w:id="20"/>
      </w:r>
    </w:p>
    <w:p w14:paraId="3C73EBBF" w14:textId="00A2B0AB" w:rsidR="00D141F9" w:rsidRDefault="157C2DF7" w:rsidP="008A11C0">
      <w:pPr>
        <w:pStyle w:val="ListParagraph"/>
        <w:numPr>
          <w:ilvl w:val="0"/>
          <w:numId w:val="21"/>
        </w:numPr>
        <w:spacing w:before="80" w:line="276" w:lineRule="auto"/>
      </w:pPr>
      <w:r>
        <w:t xml:space="preserve">A tariffed </w:t>
      </w:r>
      <w:r w:rsidR="7F6D10E9">
        <w:t xml:space="preserve">Program </w:t>
      </w:r>
      <w:r w:rsidR="453F4B88">
        <w:t>S</w:t>
      </w:r>
      <w:r w:rsidR="7F6D10E9">
        <w:t>ervice</w:t>
      </w:r>
      <w:r w:rsidR="3EE0772F">
        <w:t xml:space="preserve"> </w:t>
      </w:r>
      <w:r w:rsidR="453F4B88">
        <w:t>C</w:t>
      </w:r>
      <w:r>
        <w:t>harge</w:t>
      </w:r>
      <w:r w:rsidR="0A1ECC46">
        <w:t xml:space="preserve"> shall be</w:t>
      </w:r>
      <w:r>
        <w:t xml:space="preserve"> assigned to </w:t>
      </w:r>
      <w:r w:rsidR="5D38E1B2">
        <w:t>the</w:t>
      </w:r>
      <w:r>
        <w:t xml:space="preserve"> location</w:t>
      </w:r>
      <w:r w:rsidR="5D38E1B2">
        <w:t xml:space="preserve"> receiving the upgrades</w:t>
      </w:r>
      <w:r>
        <w:t>, not to an individual customer</w:t>
      </w:r>
      <w:r w:rsidR="4790BF19">
        <w:t>.</w:t>
      </w:r>
    </w:p>
    <w:p w14:paraId="05049C5A" w14:textId="5134010B" w:rsidR="000643DD" w:rsidRDefault="000643DD" w:rsidP="000643DD">
      <w:pPr>
        <w:pStyle w:val="ListParagraph"/>
        <w:numPr>
          <w:ilvl w:val="0"/>
          <w:numId w:val="21"/>
        </w:numPr>
        <w:spacing w:before="80" w:line="276" w:lineRule="auto"/>
      </w:pPr>
      <w:r>
        <w:t>The offer to the customer shall effectively shield the customer for installation and operating cost risks and equipment performance risks, including but not limited to the following provisions:</w:t>
      </w:r>
    </w:p>
    <w:p w14:paraId="12E28729" w14:textId="2179ABF3" w:rsidR="00100DDC" w:rsidRPr="005B3FA1" w:rsidRDefault="684FB9FB" w:rsidP="00E03818">
      <w:pPr>
        <w:pStyle w:val="ListParagraph"/>
        <w:numPr>
          <w:ilvl w:val="1"/>
          <w:numId w:val="21"/>
        </w:numPr>
        <w:spacing w:before="80" w:line="276" w:lineRule="auto"/>
      </w:pPr>
      <w:r>
        <w:t xml:space="preserve">Program </w:t>
      </w:r>
      <w:r w:rsidR="453F4B88">
        <w:t>S</w:t>
      </w:r>
      <w:r>
        <w:t xml:space="preserve">ervice </w:t>
      </w:r>
      <w:r w:rsidR="453F4B88">
        <w:t>C</w:t>
      </w:r>
      <w:r>
        <w:t xml:space="preserve">harges shall be constrained to be less than </w:t>
      </w:r>
      <w:r w:rsidR="4790BF19">
        <w:t>[</w:t>
      </w:r>
      <w:r w:rsidRPr="009F1A64">
        <w:t>80 percent</w:t>
      </w:r>
      <w:r w:rsidR="4790BF19">
        <w:t>]</w:t>
      </w:r>
      <w:r w:rsidR="00EC6C08">
        <w:rPr>
          <w:rStyle w:val="FootnoteReference"/>
        </w:rPr>
        <w:footnoteReference w:id="21"/>
      </w:r>
      <w:r>
        <w:t xml:space="preserve"> of the customer’s predicted annual savings deriving from the investment</w:t>
      </w:r>
      <w:r w:rsidR="4790BF19">
        <w:t>.</w:t>
      </w:r>
    </w:p>
    <w:p w14:paraId="1767DA15" w14:textId="676FCAAA" w:rsidR="00100DDC" w:rsidRDefault="684FB9FB" w:rsidP="00E03818">
      <w:pPr>
        <w:pStyle w:val="ListParagraph"/>
        <w:numPr>
          <w:ilvl w:val="1"/>
          <w:numId w:val="21"/>
        </w:numPr>
        <w:spacing w:before="80" w:line="276" w:lineRule="auto"/>
      </w:pPr>
      <w:r w:rsidRPr="005B3FA1">
        <w:t xml:space="preserve">Duration of payments </w:t>
      </w:r>
      <w:r>
        <w:t>shall</w:t>
      </w:r>
      <w:r w:rsidRPr="005B3FA1">
        <w:t xml:space="preserve"> not be more than </w:t>
      </w:r>
      <w:r w:rsidR="3CA1F98B">
        <w:t>[</w:t>
      </w:r>
      <w:r w:rsidRPr="00F15DFE">
        <w:t>80</w:t>
      </w:r>
      <w:r w:rsidR="68BCE825" w:rsidRPr="00F15DFE">
        <w:t xml:space="preserve"> percent</w:t>
      </w:r>
      <w:r w:rsidR="3CA1F98B">
        <w:t>]</w:t>
      </w:r>
      <w:r w:rsidR="00317450">
        <w:rPr>
          <w:rStyle w:val="FootnoteReference"/>
        </w:rPr>
        <w:footnoteReference w:id="22"/>
      </w:r>
      <w:r w:rsidRPr="00F15DFE">
        <w:t xml:space="preserve"> of</w:t>
      </w:r>
      <w:r w:rsidRPr="005B3FA1">
        <w:t xml:space="preserve"> the</w:t>
      </w:r>
      <w:r>
        <w:t xml:space="preserve"> project’s</w:t>
      </w:r>
      <w:r w:rsidRPr="005B3FA1">
        <w:t xml:space="preserve"> estimated </w:t>
      </w:r>
      <w:r>
        <w:t xml:space="preserve">useful </w:t>
      </w:r>
      <w:r w:rsidRPr="005B3FA1">
        <w:t>life</w:t>
      </w:r>
      <w:r>
        <w:t>, calculated as the average of measure use lives, weighted by their respective contributions to expected energy savings</w:t>
      </w:r>
      <w:bookmarkStart w:id="16" w:name="_Int_slKYnRKd"/>
      <w:r w:rsidR="453F4B88">
        <w:t>.</w:t>
      </w:r>
      <w:bookmarkEnd w:id="16"/>
    </w:p>
    <w:p w14:paraId="23971D5E" w14:textId="3E4AE6E1" w:rsidR="002F63AB" w:rsidRDefault="36BF9549" w:rsidP="00E03818">
      <w:pPr>
        <w:pStyle w:val="ListParagraph"/>
        <w:numPr>
          <w:ilvl w:val="1"/>
          <w:numId w:val="21"/>
        </w:numPr>
        <w:spacing w:before="80" w:line="276" w:lineRule="auto"/>
      </w:pPr>
      <w:r>
        <w:t>Mid-payment-term increases are not permitted</w:t>
      </w:r>
      <w:bookmarkStart w:id="17" w:name="_Int_xYIsvOJx"/>
      <w:r w:rsidR="453F4B88">
        <w:t>.</w:t>
      </w:r>
      <w:bookmarkEnd w:id="17"/>
    </w:p>
    <w:p w14:paraId="774E6EDE" w14:textId="05932CF7" w:rsidR="002F63AB" w:rsidRDefault="36BF9549" w:rsidP="00E03818">
      <w:pPr>
        <w:pStyle w:val="ListParagraph"/>
        <w:numPr>
          <w:ilvl w:val="1"/>
          <w:numId w:val="21"/>
        </w:numPr>
        <w:spacing w:before="80" w:line="276" w:lineRule="auto"/>
      </w:pPr>
      <w:r>
        <w:t>The Program Service Charge shall be a fixed amount</w:t>
      </w:r>
      <w:bookmarkStart w:id="18" w:name="_Int_JD5Pb3ih"/>
      <w:r w:rsidR="161207E2">
        <w:t>.</w:t>
      </w:r>
      <w:bookmarkEnd w:id="18"/>
    </w:p>
    <w:p w14:paraId="1700450B" w14:textId="448B9E6B" w:rsidR="002F63AB" w:rsidRDefault="36BF9549" w:rsidP="00E03818">
      <w:pPr>
        <w:pStyle w:val="ListParagraph"/>
        <w:numPr>
          <w:ilvl w:val="1"/>
          <w:numId w:val="21"/>
        </w:numPr>
        <w:spacing w:before="80" w:line="276" w:lineRule="auto"/>
      </w:pPr>
      <w:r>
        <w:t>The Program Service Charge m</w:t>
      </w:r>
      <w:r w:rsidR="00A60E69">
        <w:t>ight</w:t>
      </w:r>
      <w:r>
        <w:t xml:space="preserve"> be subject to a post-installation true-up process to support a savings</w:t>
      </w:r>
      <w:r w:rsidR="09161F5C">
        <w:t xml:space="preserve"> prediction</w:t>
      </w:r>
      <w:r>
        <w:t xml:space="preserve"> guarantee</w:t>
      </w:r>
      <w:r w:rsidR="00A60E69">
        <w:t>.</w:t>
      </w:r>
    </w:p>
    <w:p w14:paraId="00657D5C" w14:textId="2042DD07" w:rsidR="002F63AB" w:rsidRDefault="36BF9549" w:rsidP="00E03818">
      <w:pPr>
        <w:pStyle w:val="ListParagraph"/>
        <w:numPr>
          <w:ilvl w:val="1"/>
          <w:numId w:val="21"/>
        </w:numPr>
        <w:spacing w:before="80" w:line="276" w:lineRule="auto"/>
      </w:pPr>
      <w:r>
        <w:t xml:space="preserve">Payments shall stop if </w:t>
      </w:r>
      <w:r w:rsidR="1EB1D21F">
        <w:t xml:space="preserve">installed </w:t>
      </w:r>
      <w:r>
        <w:t>upgrades stop working</w:t>
      </w:r>
      <w:r w:rsidR="1EB1D21F">
        <w:t>—</w:t>
      </w:r>
      <w:r>
        <w:t xml:space="preserve">until </w:t>
      </w:r>
      <w:r w:rsidR="1EB1D21F">
        <w:t xml:space="preserve">those measures </w:t>
      </w:r>
      <w:r>
        <w:t>are repaired</w:t>
      </w:r>
      <w:r w:rsidR="003F5152">
        <w:t xml:space="preserve"> or replaced</w:t>
      </w:r>
      <w:r w:rsidR="0DCDDB14">
        <w:t>,</w:t>
      </w:r>
      <w:r w:rsidR="1EB1D21F">
        <w:t xml:space="preserve"> </w:t>
      </w:r>
      <w:r>
        <w:t xml:space="preserve">and </w:t>
      </w:r>
      <w:r w:rsidR="0DCDDB14">
        <w:t xml:space="preserve">the measures </w:t>
      </w:r>
      <w:r w:rsidR="1EB1D21F">
        <w:t xml:space="preserve">are </w:t>
      </w:r>
      <w:r>
        <w:t>working again</w:t>
      </w:r>
      <w:r w:rsidR="0DCDDB14">
        <w:t xml:space="preserve"> as designed</w:t>
      </w:r>
      <w:r w:rsidR="1EB1D21F">
        <w:t>.</w:t>
      </w:r>
    </w:p>
    <w:p w14:paraId="5086D50A" w14:textId="3EDC7BD2" w:rsidR="002F63AB" w:rsidRDefault="36BF9549" w:rsidP="00E03818">
      <w:pPr>
        <w:pStyle w:val="ListParagraph"/>
        <w:numPr>
          <w:ilvl w:val="1"/>
          <w:numId w:val="21"/>
        </w:numPr>
        <w:spacing w:before="80" w:line="276" w:lineRule="auto"/>
      </w:pPr>
      <w:r>
        <w:t xml:space="preserve">Charges shall also be suspended for </w:t>
      </w:r>
      <w:r w:rsidR="39EBC3EE">
        <w:t xml:space="preserve">building </w:t>
      </w:r>
      <w:r>
        <w:t xml:space="preserve">vacancy if </w:t>
      </w:r>
      <w:r w:rsidR="72C86C03">
        <w:t xml:space="preserve">a </w:t>
      </w:r>
      <w:r>
        <w:t>meter is shut off, and the cost recovery period commensurately extended</w:t>
      </w:r>
      <w:bookmarkStart w:id="19" w:name="_Int_Vfe57Xlx"/>
      <w:r w:rsidR="72C86C03">
        <w:t>.</w:t>
      </w:r>
      <w:bookmarkEnd w:id="19"/>
    </w:p>
    <w:p w14:paraId="5FA7B753" w14:textId="1A93C898" w:rsidR="002F63AB" w:rsidRDefault="36BF9549" w:rsidP="00E03818">
      <w:pPr>
        <w:pStyle w:val="ListParagraph"/>
        <w:numPr>
          <w:ilvl w:val="1"/>
          <w:numId w:val="21"/>
        </w:numPr>
        <w:spacing w:before="80" w:line="276" w:lineRule="auto"/>
      </w:pPr>
      <w:r>
        <w:t>Repairs or vacancy can extend the duration of charges but may not increase the monthly payment</w:t>
      </w:r>
      <w:bookmarkStart w:id="20" w:name="_Int_C9SLj9V4"/>
      <w:r w:rsidR="75E79D2F">
        <w:t>.</w:t>
      </w:r>
      <w:bookmarkEnd w:id="20"/>
    </w:p>
    <w:p w14:paraId="4030D972" w14:textId="013CCCB6" w:rsidR="002F63AB" w:rsidRDefault="09161F5C" w:rsidP="00E03818">
      <w:pPr>
        <w:pStyle w:val="ListParagraph"/>
        <w:numPr>
          <w:ilvl w:val="1"/>
          <w:numId w:val="21"/>
        </w:numPr>
        <w:spacing w:before="80" w:line="276" w:lineRule="auto"/>
      </w:pPr>
      <w:r>
        <w:t>U</w:t>
      </w:r>
      <w:r w:rsidR="36BF9549">
        <w:t xml:space="preserve">pgrades belong to </w:t>
      </w:r>
      <w:r w:rsidR="75E79D2F">
        <w:t xml:space="preserve">the </w:t>
      </w:r>
      <w:r w:rsidR="36BF9549">
        <w:t>building owner</w:t>
      </w:r>
      <w:r>
        <w:t>, unless a third-party ownership mechanism is necessary to maximize</w:t>
      </w:r>
      <w:r w:rsidR="1C3AC1D9">
        <w:t xml:space="preserve"> available tax credits</w:t>
      </w:r>
      <w:bookmarkStart w:id="21" w:name="_Int_rvlMaPSB"/>
      <w:r w:rsidR="24230A0A">
        <w:t>.</w:t>
      </w:r>
      <w:bookmarkEnd w:id="21"/>
    </w:p>
    <w:p w14:paraId="79B1E83B" w14:textId="4A1C7EBD" w:rsidR="00A46606" w:rsidRDefault="2BEDC791" w:rsidP="00E03818">
      <w:pPr>
        <w:pStyle w:val="ListParagraph"/>
        <w:numPr>
          <w:ilvl w:val="1"/>
          <w:numId w:val="21"/>
        </w:numPr>
        <w:spacing w:before="80" w:line="276" w:lineRule="auto"/>
      </w:pPr>
      <w:r>
        <w:t xml:space="preserve">Upgrades </w:t>
      </w:r>
      <w:r w:rsidR="35DCC1B4">
        <w:t>can</w:t>
      </w:r>
      <w:r>
        <w:t xml:space="preserve">not have </w:t>
      </w:r>
      <w:r w:rsidR="24230A0A">
        <w:t xml:space="preserve">an </w:t>
      </w:r>
      <w:r>
        <w:t>end-of-lease charge or transfer of ownership financial obligation</w:t>
      </w:r>
      <w:r w:rsidR="24230A0A">
        <w:t xml:space="preserve">. </w:t>
      </w:r>
    </w:p>
    <w:p w14:paraId="2DEFE3F9" w14:textId="2A016EC1" w:rsidR="00B35BE9" w:rsidRDefault="0DE836AD" w:rsidP="008466EA">
      <w:pPr>
        <w:pStyle w:val="ListParagraph"/>
        <w:numPr>
          <w:ilvl w:val="1"/>
          <w:numId w:val="21"/>
        </w:numPr>
        <w:spacing w:before="80" w:line="276" w:lineRule="auto"/>
      </w:pPr>
      <w:r>
        <w:t>Customers who opt in to tariffed on-bill investments remain eligible for all other financial incentives</w:t>
      </w:r>
      <w:r w:rsidR="2CA2BF02">
        <w:t>.</w:t>
      </w:r>
    </w:p>
    <w:p w14:paraId="0E97C461" w14:textId="3F485280" w:rsidR="005B1FC9" w:rsidRPr="005B3FA1" w:rsidRDefault="0B12D4DF" w:rsidP="00E03818">
      <w:pPr>
        <w:pStyle w:val="ListParagraph"/>
        <w:numPr>
          <w:ilvl w:val="1"/>
          <w:numId w:val="21"/>
        </w:numPr>
        <w:spacing w:before="80" w:line="276" w:lineRule="auto"/>
      </w:pPr>
      <w:r>
        <w:t>TOB upgrades shall be commercially proven technologies that meet program standards for energy efficiency, performance, and reliability</w:t>
      </w:r>
      <w:r w:rsidR="1F76198D">
        <w:t>.</w:t>
      </w:r>
    </w:p>
    <w:p w14:paraId="6ECD3158" w14:textId="402616F5" w:rsidR="005B1FC9" w:rsidRDefault="0B12D4DF" w:rsidP="00E03818">
      <w:pPr>
        <w:pStyle w:val="ListParagraph"/>
        <w:numPr>
          <w:ilvl w:val="1"/>
          <w:numId w:val="21"/>
        </w:numPr>
        <w:spacing w:before="80" w:line="276" w:lineRule="auto"/>
      </w:pPr>
      <w:r>
        <w:t>The</w:t>
      </w:r>
      <w:r w:rsidR="00851FC3">
        <w:t xml:space="preserve"> Program Sponsor </w:t>
      </w:r>
      <w:r>
        <w:t>or its agent shall verify that products are appropriate, and savings estimates exceed payments in both the near and long terms</w:t>
      </w:r>
      <w:r w:rsidR="1FCA0156">
        <w:t>.</w:t>
      </w:r>
    </w:p>
    <w:p w14:paraId="4627CDF6" w14:textId="1CFB511F" w:rsidR="00D141F9" w:rsidRDefault="157C2DF7" w:rsidP="008A11C0">
      <w:pPr>
        <w:pStyle w:val="ListParagraph"/>
        <w:numPr>
          <w:ilvl w:val="0"/>
          <w:numId w:val="21"/>
        </w:numPr>
        <w:spacing w:before="80" w:line="276" w:lineRule="auto"/>
      </w:pPr>
      <w:r>
        <w:t>Billing and payment on the utility bill</w:t>
      </w:r>
      <w:r w:rsidR="0A1ECC46">
        <w:t xml:space="preserve"> shall be</w:t>
      </w:r>
      <w:r>
        <w:t xml:space="preserve"> subject to the same terms for disconnection for non-payment as </w:t>
      </w:r>
      <w:r w:rsidR="22D0FB90">
        <w:t xml:space="preserve">are all other </w:t>
      </w:r>
      <w:r>
        <w:t>bill charges</w:t>
      </w:r>
      <w:r w:rsidR="22D0FB90">
        <w:t>.</w:t>
      </w:r>
    </w:p>
    <w:p w14:paraId="01D8D8F6" w14:textId="4F97D359" w:rsidR="00D141F9" w:rsidRDefault="14EC6890" w:rsidP="008A11C0">
      <w:pPr>
        <w:pStyle w:val="ListParagraph"/>
        <w:numPr>
          <w:ilvl w:val="0"/>
          <w:numId w:val="21"/>
        </w:numPr>
        <w:spacing w:before="80" w:line="276" w:lineRule="auto"/>
      </w:pPr>
      <w:r>
        <w:t xml:space="preserve">Each month, </w:t>
      </w:r>
      <w:r w:rsidR="5EBB99EA">
        <w:t>[</w:t>
      </w:r>
      <w:r>
        <w:t>t</w:t>
      </w:r>
      <w:r w:rsidR="157C2DF7">
        <w:t>he utility doing billing and collection of tariffed on-bill charges</w:t>
      </w:r>
      <w:r w:rsidR="5EBB99EA">
        <w:t>]</w:t>
      </w:r>
      <w:r w:rsidR="157C2DF7">
        <w:t xml:space="preserve"> </w:t>
      </w:r>
      <w:r w:rsidR="19D9C376">
        <w:t>shall</w:t>
      </w:r>
      <w:r w:rsidR="157C2DF7">
        <w:t xml:space="preserve"> pay the capital provider(s) the </w:t>
      </w:r>
      <w:r>
        <w:t xml:space="preserve">monthly </w:t>
      </w:r>
      <w:r w:rsidR="157C2DF7">
        <w:t xml:space="preserve">amount billed to TOB customers, regardless of the utility’s collections, and to treat any bad debt for TOB measures </w:t>
      </w:r>
      <w:r>
        <w:t xml:space="preserve">in </w:t>
      </w:r>
      <w:r w:rsidR="157C2DF7">
        <w:t>the same way that it treats all other bad debt</w:t>
      </w:r>
      <w:r>
        <w:t>.</w:t>
      </w:r>
    </w:p>
    <w:p w14:paraId="4BC94B42" w14:textId="5A1C7BAE" w:rsidR="00112507" w:rsidRDefault="293791F4" w:rsidP="005C2564">
      <w:pPr>
        <w:pStyle w:val="Heading3"/>
      </w:pPr>
      <w:r>
        <w:t xml:space="preserve">Regulatory and </w:t>
      </w:r>
      <w:r w:rsidR="3FE84592">
        <w:t>Program Precedents</w:t>
      </w:r>
    </w:p>
    <w:p w14:paraId="16188615" w14:textId="77777777" w:rsidR="00AA006D" w:rsidRDefault="00AA006D" w:rsidP="00AA006D">
      <w:pPr>
        <w:pStyle w:val="NormalWeb"/>
        <w:rPr>
          <w:i/>
          <w:iCs/>
        </w:rPr>
      </w:pPr>
      <w:r w:rsidRPr="727BFE15">
        <w:rPr>
          <w:i/>
          <w:iCs/>
        </w:rPr>
        <w:t>From the CPUC:</w:t>
      </w:r>
    </w:p>
    <w:p w14:paraId="12440A07" w14:textId="77777777" w:rsidR="00AA006D" w:rsidRDefault="00AA006D" w:rsidP="00AA006D">
      <w:pPr>
        <w:pStyle w:val="NormalWeb"/>
        <w:rPr>
          <w:i/>
          <w:iCs/>
        </w:rPr>
      </w:pPr>
      <w:r w:rsidRPr="00AA006D">
        <w:rPr>
          <w:i/>
          <w:iCs/>
        </w:rPr>
        <w:t>Is there any precedent for a program of this type, and if so, what are the lessons learned from previous and similar programs? Please include any applicable program results from those other programs, such as forecast and actual participation by targeted customer group and describe, to the extent possible.</w:t>
      </w:r>
    </w:p>
    <w:p w14:paraId="6313F185" w14:textId="58BC985C" w:rsidR="008C7CE2" w:rsidRDefault="056802D1" w:rsidP="00361B80">
      <w:r>
        <w:t xml:space="preserve">The proposed </w:t>
      </w:r>
      <w:r w:rsidR="14EC6890">
        <w:t>P</w:t>
      </w:r>
      <w:r>
        <w:t>rogram</w:t>
      </w:r>
      <w:r w:rsidR="38846E68">
        <w:t xml:space="preserve"> </w:t>
      </w:r>
      <w:r w:rsidR="78D9305F">
        <w:t>incorporates both regulatory and program precedent into its design.</w:t>
      </w:r>
    </w:p>
    <w:p w14:paraId="516532AD" w14:textId="7DCE24A5" w:rsidR="00B94398" w:rsidRDefault="46F4B3CD" w:rsidP="00B94398">
      <w:pPr>
        <w:pStyle w:val="Heading4"/>
      </w:pPr>
      <w:r>
        <w:t xml:space="preserve">Regulatory and </w:t>
      </w:r>
      <w:r w:rsidR="25F843C2">
        <w:t>Program Precedents Nationwide</w:t>
      </w:r>
    </w:p>
    <w:p w14:paraId="0FD6D119" w14:textId="2CA454F0" w:rsidR="00563C01" w:rsidRDefault="71224D91" w:rsidP="00563C01">
      <w:r>
        <w:t>Tariffed on-bill</w:t>
      </w:r>
      <w:r w:rsidRPr="009E3653">
        <w:t xml:space="preserve"> programs based on the PAYS</w:t>
      </w:r>
      <w:r w:rsidRPr="009E3653">
        <w:rPr>
          <w:vertAlign w:val="superscript"/>
        </w:rPr>
        <w:t>®</w:t>
      </w:r>
      <w:r w:rsidRPr="009E3653">
        <w:t xml:space="preserve"> (Pay </w:t>
      </w:r>
      <w:bookmarkStart w:id="22" w:name="_Int_JOuqsxhg"/>
      <w:r w:rsidRPr="009E3653">
        <w:t>As</w:t>
      </w:r>
      <w:bookmarkEnd w:id="22"/>
      <w:r w:rsidRPr="009E3653">
        <w:t xml:space="preserve"> You Save</w:t>
      </w:r>
      <w:r w:rsidRPr="009E3653">
        <w:rPr>
          <w:vertAlign w:val="superscript"/>
        </w:rPr>
        <w:t>®</w:t>
      </w:r>
      <w:r w:rsidRPr="009E3653">
        <w:t>)</w:t>
      </w:r>
      <w:r w:rsidR="00563C01" w:rsidRPr="00EA67C6">
        <w:rPr>
          <w:rStyle w:val="FootnoteReference"/>
          <w:rFonts w:eastAsia="Calibri" w:cs="Calibri"/>
        </w:rPr>
        <w:footnoteReference w:id="23"/>
      </w:r>
      <w:r w:rsidRPr="009E3653">
        <w:t xml:space="preserve"> system have been successful</w:t>
      </w:r>
      <w:r w:rsidR="77E1A8A4">
        <w:t xml:space="preserve"> for</w:t>
      </w:r>
      <w:r w:rsidRPr="009E3653">
        <w:t xml:space="preserve"> the past </w:t>
      </w:r>
      <w:r>
        <w:t>20</w:t>
      </w:r>
      <w:r w:rsidRPr="009E3653">
        <w:t xml:space="preserve"> years in </w:t>
      </w:r>
      <w:r>
        <w:t>eight</w:t>
      </w:r>
      <w:r w:rsidRPr="009E3653">
        <w:t xml:space="preserve"> states</w:t>
      </w:r>
      <w:r w:rsidR="252F4DC6">
        <w:t xml:space="preserve">. Their scope ranges across </w:t>
      </w:r>
      <w:r w:rsidRPr="009E3653">
        <w:t>18 utilities</w:t>
      </w:r>
      <w:r w:rsidR="252F4DC6">
        <w:t>,</w:t>
      </w:r>
      <w:r>
        <w:t xml:space="preserve"> from Hawaii to New Hampshire</w:t>
      </w:r>
      <w:r w:rsidRPr="009E3653">
        <w:t xml:space="preserve">, </w:t>
      </w:r>
      <w:r w:rsidR="252F4DC6">
        <w:t xml:space="preserve">and involve </w:t>
      </w:r>
      <w:r w:rsidRPr="009E3653">
        <w:t>investor</w:t>
      </w:r>
      <w:r w:rsidR="252F4DC6">
        <w:t>-</w:t>
      </w:r>
      <w:r w:rsidRPr="009E3653">
        <w:t>owned, cooperative, and municipal utilities</w:t>
      </w:r>
      <w:r w:rsidR="252F4DC6">
        <w:t xml:space="preserve">. </w:t>
      </w:r>
      <w:r w:rsidR="142315CE" w:rsidRPr="00436213">
        <w:rPr>
          <w:b/>
          <w:bCs/>
        </w:rPr>
        <w:t>Figure 1</w:t>
      </w:r>
      <w:r w:rsidR="142315CE">
        <w:t xml:space="preserve"> shows the scope</w:t>
      </w:r>
      <w:r w:rsidR="734DF30D">
        <w:t xml:space="preserve"> and status of PAYS programs nationwide</w:t>
      </w:r>
      <w:r w:rsidR="142315CE">
        <w:t xml:space="preserve">. </w:t>
      </w:r>
    </w:p>
    <w:p w14:paraId="18CDC18B" w14:textId="504016D0" w:rsidR="00556698" w:rsidRDefault="2267284B" w:rsidP="727BFE15">
      <w:r>
        <w:rPr>
          <w:noProof/>
        </w:rPr>
        <w:drawing>
          <wp:inline distT="0" distB="0" distL="0" distR="0" wp14:anchorId="52F4B94A" wp14:editId="4C1EC397">
            <wp:extent cx="5943600" cy="3065145"/>
            <wp:effectExtent l="0" t="0" r="0" b="1905"/>
            <wp:docPr id="1"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3065145"/>
                    </a:xfrm>
                    <a:prstGeom prst="rect">
                      <a:avLst/>
                    </a:prstGeom>
                  </pic:spPr>
                </pic:pic>
              </a:graphicData>
            </a:graphic>
          </wp:inline>
        </w:drawing>
      </w:r>
    </w:p>
    <w:p w14:paraId="5D3D9D00" w14:textId="0A82B6B4" w:rsidR="00702511" w:rsidRDefault="2322281F" w:rsidP="00556698">
      <w:pPr>
        <w:rPr>
          <w:sz w:val="18"/>
          <w:szCs w:val="18"/>
        </w:rPr>
      </w:pPr>
      <w:r w:rsidRPr="727BFE15">
        <w:rPr>
          <w:i/>
          <w:iCs/>
          <w:sz w:val="18"/>
          <w:szCs w:val="18"/>
        </w:rPr>
        <w:t xml:space="preserve">Source: </w:t>
      </w:r>
      <w:r w:rsidRPr="727BFE15">
        <w:rPr>
          <w:sz w:val="18"/>
          <w:szCs w:val="18"/>
        </w:rPr>
        <w:t>LibertyHomes</w:t>
      </w:r>
      <w:r w:rsidR="25FBC11C" w:rsidRPr="727BFE15">
        <w:rPr>
          <w:sz w:val="18"/>
          <w:szCs w:val="18"/>
        </w:rPr>
        <w:t>,</w:t>
      </w:r>
      <w:r w:rsidR="011EC289" w:rsidRPr="727BFE15">
        <w:rPr>
          <w:sz w:val="18"/>
          <w:szCs w:val="18"/>
        </w:rPr>
        <w:t xml:space="preserve"> 2021.</w:t>
      </w:r>
      <w:r w:rsidR="25FBC11C" w:rsidRPr="727BFE15">
        <w:rPr>
          <w:sz w:val="18"/>
          <w:szCs w:val="18"/>
        </w:rPr>
        <w:t xml:space="preserve"> </w:t>
      </w:r>
      <w:hyperlink r:id="rId13" w:history="1">
        <w:r w:rsidR="25FBC11C" w:rsidRPr="727BFE15">
          <w:rPr>
            <w:rStyle w:val="Hyperlink"/>
            <w:sz w:val="18"/>
            <w:szCs w:val="18"/>
          </w:rPr>
          <w:t>https://www.libertyhomes.org/</w:t>
        </w:r>
      </w:hyperlink>
    </w:p>
    <w:p w14:paraId="10D232AC" w14:textId="77777777" w:rsidR="00BF062F" w:rsidRPr="00B054B5" w:rsidRDefault="63C89B3E" w:rsidP="00BF062F">
      <w:pPr>
        <w:rPr>
          <w:b/>
          <w:bCs/>
        </w:rPr>
      </w:pPr>
      <w:r w:rsidRPr="727BFE15">
        <w:rPr>
          <w:b/>
          <w:bCs/>
        </w:rPr>
        <w:t>Figure 1. Map of existing PAYS</w:t>
      </w:r>
      <w:r w:rsidRPr="727BFE15">
        <w:rPr>
          <w:b/>
          <w:bCs/>
          <w:vertAlign w:val="superscript"/>
        </w:rPr>
        <w:t>®</w:t>
      </w:r>
      <w:r w:rsidRPr="727BFE15">
        <w:rPr>
          <w:b/>
          <w:bCs/>
        </w:rPr>
        <w:t xml:space="preserve"> programs, showing current locations where they are in place, and prospective locations for adoption.</w:t>
      </w:r>
    </w:p>
    <w:p w14:paraId="2886B5AF" w14:textId="65E0B7AE" w:rsidR="00556698" w:rsidRDefault="1C4CC911" w:rsidP="727BFE15">
      <w:pPr>
        <w:rPr>
          <w:sz w:val="18"/>
          <w:szCs w:val="18"/>
        </w:rPr>
      </w:pPr>
      <w:r>
        <w:t xml:space="preserve">Utilities have invested </w:t>
      </w:r>
      <w:r w:rsidR="2E74FCB0">
        <w:t>approximately</w:t>
      </w:r>
      <w:r w:rsidR="2267284B">
        <w:t xml:space="preserve"> $</w:t>
      </w:r>
      <w:r w:rsidR="1F68EC19">
        <w:t>44</w:t>
      </w:r>
      <w:r w:rsidR="2267284B">
        <w:t xml:space="preserve"> million</w:t>
      </w:r>
      <w:r w:rsidR="1F68EC19" w:rsidRPr="009E3653">
        <w:t xml:space="preserve"> </w:t>
      </w:r>
      <w:r w:rsidR="2267284B">
        <w:t>in energy efficiency and renewable upgrades at</w:t>
      </w:r>
      <w:r>
        <w:t xml:space="preserve"> more than</w:t>
      </w:r>
      <w:r w:rsidR="2267284B">
        <w:t xml:space="preserve"> 5,</w:t>
      </w:r>
      <w:r>
        <w:t>8</w:t>
      </w:r>
      <w:r w:rsidR="2267284B" w:rsidRPr="009E3653">
        <w:t>00 locations</w:t>
      </w:r>
      <w:r w:rsidR="00556698">
        <w:rPr>
          <w:rStyle w:val="FootnoteReference"/>
        </w:rPr>
        <w:footnoteReference w:id="24"/>
      </w:r>
      <w:r w:rsidR="2267284B" w:rsidRPr="009E3653">
        <w:t>￼</w:t>
      </w:r>
      <w:r w:rsidR="2267284B">
        <w:t xml:space="preserve"> According to</w:t>
      </w:r>
      <w:r w:rsidR="734DF30D">
        <w:t xml:space="preserve"> the nonprofit organization</w:t>
      </w:r>
      <w:r w:rsidR="2267284B">
        <w:t>￼</w:t>
      </w:r>
      <w:bookmarkStart w:id="24" w:name="_Int_tp54Exjh"/>
      <w:r w:rsidR="2267284B" w:rsidDel="00EA7142">
        <w:t>Liberty</w:t>
      </w:r>
      <w:r w:rsidR="2267284B">
        <w:t>Homes</w:t>
      </w:r>
      <w:bookmarkEnd w:id="24"/>
      <w:r w:rsidR="2267284B">
        <w:t>￼ energy upgrade programs using PAYS have reported customer acceptance of program offers at rates of 50</w:t>
      </w:r>
      <w:r w:rsidR="734DF30D" w:rsidDel="000B1808">
        <w:t xml:space="preserve"> to </w:t>
      </w:r>
      <w:r w:rsidR="2267284B" w:rsidDel="000B1808">
        <w:t>90 percent</w:t>
      </w:r>
      <w:r w:rsidR="734DF30D">
        <w:t xml:space="preserve">, </w:t>
      </w:r>
      <w:r w:rsidR="2267284B">
        <w:t>with higher average capital investment per site compared to on-bill loans</w:t>
      </w:r>
      <w:r w:rsidR="2A42E387">
        <w:t>. The PAYS  mechanism</w:t>
      </w:r>
      <w:r w:rsidR="2A42E387" w:rsidDel="002A651F">
        <w:t xml:space="preserve"> has also kept </w:t>
      </w:r>
      <w:r w:rsidR="2267284B">
        <w:t>utility uncollectibles below 0.1 percent. These results hold true even in areas characterized by conditions of persistent poverty.</w:t>
      </w:r>
    </w:p>
    <w:p w14:paraId="21A71215" w14:textId="5E889669" w:rsidR="0092043C" w:rsidRDefault="2FD9EB6F" w:rsidP="00C712F8">
      <w:pPr>
        <w:ind w:left="360"/>
      </w:pPr>
      <w:r>
        <w:t>A recent paper on PAYS</w:t>
      </w:r>
      <w:r w:rsidR="00117155">
        <w:rPr>
          <w:rStyle w:val="FootnoteReference"/>
        </w:rPr>
        <w:footnoteReference w:id="25"/>
      </w:r>
      <w:r>
        <w:t xml:space="preserve"> has </w:t>
      </w:r>
      <w:r w:rsidR="481C4048">
        <w:t>documented relevant developments to this evolving system:</w:t>
      </w:r>
      <w:r w:rsidR="00FF62ED">
        <w:rPr>
          <w:rStyle w:val="FootnoteReference"/>
        </w:rPr>
        <w:footnoteReference w:id="26"/>
      </w:r>
    </w:p>
    <w:p w14:paraId="716D8E1B" w14:textId="65C881FD" w:rsidR="00506F48" w:rsidRPr="00DC3869" w:rsidRDefault="2C30BB06" w:rsidP="727BFE15">
      <w:pPr>
        <w:pStyle w:val="ListParagraph"/>
        <w:numPr>
          <w:ilvl w:val="0"/>
          <w:numId w:val="18"/>
        </w:numPr>
        <w:ind w:left="1440" w:right="720"/>
        <w:rPr>
          <w:sz w:val="19"/>
          <w:szCs w:val="19"/>
        </w:rPr>
      </w:pPr>
      <w:r w:rsidRPr="727BFE15">
        <w:rPr>
          <w:sz w:val="19"/>
          <w:szCs w:val="19"/>
        </w:rPr>
        <w:t>In December 2019, the</w:t>
      </w:r>
      <w:r w:rsidR="053ABA75" w:rsidRPr="727BFE15">
        <w:rPr>
          <w:sz w:val="19"/>
          <w:szCs w:val="19"/>
        </w:rPr>
        <w:t xml:space="preserve"> </w:t>
      </w:r>
      <w:r w:rsidRPr="727BFE15">
        <w:rPr>
          <w:sz w:val="19"/>
          <w:szCs w:val="19"/>
        </w:rPr>
        <w:t>Missouri Public Service Commission approved Evergy’s energy efficiency plan</w:t>
      </w:r>
      <w:r w:rsidR="40DFEBCA" w:rsidRPr="727BFE15">
        <w:rPr>
          <w:sz w:val="19"/>
          <w:szCs w:val="19"/>
        </w:rPr>
        <w:t>,</w:t>
      </w:r>
      <w:r w:rsidRPr="727BFE15">
        <w:rPr>
          <w:sz w:val="19"/>
          <w:szCs w:val="19"/>
        </w:rPr>
        <w:t xml:space="preserve"> contingent on</w:t>
      </w:r>
      <w:r w:rsidR="053ABA75" w:rsidRPr="727BFE15">
        <w:rPr>
          <w:sz w:val="19"/>
          <w:szCs w:val="19"/>
        </w:rPr>
        <w:t xml:space="preserve"> </w:t>
      </w:r>
      <w:r w:rsidRPr="727BFE15">
        <w:rPr>
          <w:sz w:val="19"/>
          <w:szCs w:val="19"/>
        </w:rPr>
        <w:t>using the PAYS system</w:t>
      </w:r>
      <w:r w:rsidR="0A09055A" w:rsidRPr="727BFE15">
        <w:rPr>
          <w:sz w:val="19"/>
          <w:szCs w:val="19"/>
        </w:rPr>
        <w:t>…</w:t>
      </w:r>
      <w:r w:rsidRPr="727BFE15">
        <w:rPr>
          <w:sz w:val="19"/>
          <w:szCs w:val="19"/>
        </w:rPr>
        <w:t xml:space="preserve"> </w:t>
      </w:r>
    </w:p>
    <w:p w14:paraId="6240E084" w14:textId="3F92D0CB" w:rsidR="000913FC" w:rsidRPr="00DC3869" w:rsidRDefault="4370F003" w:rsidP="727BFE15">
      <w:pPr>
        <w:pStyle w:val="ListParagraph"/>
        <w:numPr>
          <w:ilvl w:val="0"/>
          <w:numId w:val="18"/>
        </w:numPr>
        <w:ind w:left="1440" w:right="720"/>
        <w:rPr>
          <w:sz w:val="19"/>
          <w:szCs w:val="19"/>
        </w:rPr>
      </w:pPr>
      <w:r w:rsidRPr="727BFE15">
        <w:rPr>
          <w:sz w:val="19"/>
          <w:szCs w:val="19"/>
        </w:rPr>
        <w:t>[I</w:t>
      </w:r>
      <w:r w:rsidR="39356184" w:rsidRPr="727BFE15">
        <w:rPr>
          <w:sz w:val="19"/>
          <w:szCs w:val="19"/>
        </w:rPr>
        <w:t>n</w:t>
      </w:r>
      <w:r w:rsidRPr="727BFE15">
        <w:rPr>
          <w:sz w:val="19"/>
          <w:szCs w:val="19"/>
        </w:rPr>
        <w:t>]</w:t>
      </w:r>
      <w:r w:rsidR="39356184" w:rsidRPr="727BFE15">
        <w:rPr>
          <w:sz w:val="19"/>
          <w:szCs w:val="19"/>
        </w:rPr>
        <w:t xml:space="preserve"> July</w:t>
      </w:r>
      <w:r w:rsidR="60FAD4A0" w:rsidRPr="727BFE15">
        <w:rPr>
          <w:sz w:val="19"/>
          <w:szCs w:val="19"/>
        </w:rPr>
        <w:t xml:space="preserve"> </w:t>
      </w:r>
      <w:r w:rsidRPr="727BFE15">
        <w:rPr>
          <w:sz w:val="19"/>
          <w:szCs w:val="19"/>
        </w:rPr>
        <w:t>[</w:t>
      </w:r>
      <w:r w:rsidR="60FAD4A0" w:rsidRPr="727BFE15">
        <w:rPr>
          <w:sz w:val="19"/>
          <w:szCs w:val="19"/>
        </w:rPr>
        <w:t>of 2020</w:t>
      </w:r>
      <w:r w:rsidRPr="727BFE15">
        <w:rPr>
          <w:sz w:val="19"/>
          <w:szCs w:val="19"/>
        </w:rPr>
        <w:t>]</w:t>
      </w:r>
      <w:r w:rsidR="39356184" w:rsidRPr="727BFE15">
        <w:rPr>
          <w:sz w:val="19"/>
          <w:szCs w:val="19"/>
        </w:rPr>
        <w:t>, Ameren Missouri and staff of the Public Service Commission and</w:t>
      </w:r>
      <w:r w:rsidR="60FAD4A0" w:rsidRPr="727BFE15">
        <w:rPr>
          <w:sz w:val="19"/>
          <w:szCs w:val="19"/>
        </w:rPr>
        <w:t xml:space="preserve"> </w:t>
      </w:r>
      <w:r w:rsidR="39356184" w:rsidRPr="727BFE15">
        <w:rPr>
          <w:sz w:val="19"/>
          <w:szCs w:val="19"/>
        </w:rPr>
        <w:t>other stakeholders announced a unanimous agreement to use the PAYS system for a two-year</w:t>
      </w:r>
      <w:r w:rsidR="60FAD4A0" w:rsidRPr="727BFE15">
        <w:rPr>
          <w:sz w:val="19"/>
          <w:szCs w:val="19"/>
        </w:rPr>
        <w:t xml:space="preserve"> </w:t>
      </w:r>
      <w:r w:rsidR="39356184" w:rsidRPr="727BFE15">
        <w:rPr>
          <w:sz w:val="19"/>
          <w:szCs w:val="19"/>
        </w:rPr>
        <w:t xml:space="preserve">program with the intention to scale in subsequent years </w:t>
      </w:r>
      <w:r w:rsidR="0A09055A" w:rsidRPr="727BFE15">
        <w:rPr>
          <w:sz w:val="19"/>
          <w:szCs w:val="19"/>
        </w:rPr>
        <w:t>…</w:t>
      </w:r>
      <w:r w:rsidR="39356184" w:rsidRPr="727BFE15">
        <w:rPr>
          <w:sz w:val="19"/>
          <w:szCs w:val="19"/>
        </w:rPr>
        <w:t xml:space="preserve"> </w:t>
      </w:r>
    </w:p>
    <w:p w14:paraId="5679F15A" w14:textId="57551DB2" w:rsidR="00502F88" w:rsidRPr="00DC3869" w:rsidRDefault="2C30BB06" w:rsidP="727BFE15">
      <w:pPr>
        <w:pStyle w:val="ListParagraph"/>
        <w:numPr>
          <w:ilvl w:val="0"/>
          <w:numId w:val="18"/>
        </w:numPr>
        <w:ind w:left="1440" w:right="720"/>
        <w:rPr>
          <w:sz w:val="19"/>
          <w:szCs w:val="19"/>
        </w:rPr>
      </w:pPr>
      <w:r w:rsidRPr="727BFE15">
        <w:rPr>
          <w:sz w:val="19"/>
          <w:szCs w:val="19"/>
        </w:rPr>
        <w:t>Also, in</w:t>
      </w:r>
      <w:r w:rsidR="06B6BCDE" w:rsidRPr="727BFE15">
        <w:rPr>
          <w:sz w:val="19"/>
          <w:szCs w:val="19"/>
        </w:rPr>
        <w:t xml:space="preserve"> </w:t>
      </w:r>
      <w:r w:rsidRPr="727BFE15">
        <w:rPr>
          <w:sz w:val="19"/>
          <w:szCs w:val="19"/>
        </w:rPr>
        <w:t>July 2020, the City of Minneapolis filed a tariff for inclusive financing using the PAYS system</w:t>
      </w:r>
      <w:r w:rsidR="06B6BCDE" w:rsidRPr="727BFE15">
        <w:rPr>
          <w:sz w:val="19"/>
          <w:szCs w:val="19"/>
        </w:rPr>
        <w:t xml:space="preserve"> </w:t>
      </w:r>
      <w:r w:rsidR="0A09055A" w:rsidRPr="727BFE15">
        <w:rPr>
          <w:sz w:val="19"/>
          <w:szCs w:val="19"/>
        </w:rPr>
        <w:t>…</w:t>
      </w:r>
      <w:r w:rsidRPr="727BFE15">
        <w:rPr>
          <w:sz w:val="19"/>
          <w:szCs w:val="19"/>
        </w:rPr>
        <w:t xml:space="preserve"> Additionally, in 2020, the Virginia Legislature unanimously passed</w:t>
      </w:r>
      <w:r w:rsidR="06B6BCDE" w:rsidRPr="727BFE15">
        <w:rPr>
          <w:sz w:val="19"/>
          <w:szCs w:val="19"/>
        </w:rPr>
        <w:t xml:space="preserve"> </w:t>
      </w:r>
      <w:r w:rsidRPr="727BFE15">
        <w:rPr>
          <w:sz w:val="19"/>
          <w:szCs w:val="19"/>
        </w:rPr>
        <w:t>SB 754 granting rural electric cooperatives State Corporation Commission conditional preapproval</w:t>
      </w:r>
      <w:r w:rsidR="40CB51AD" w:rsidRPr="727BFE15">
        <w:rPr>
          <w:sz w:val="19"/>
          <w:szCs w:val="19"/>
        </w:rPr>
        <w:t xml:space="preserve"> </w:t>
      </w:r>
      <w:r w:rsidRPr="727BFE15">
        <w:rPr>
          <w:sz w:val="19"/>
          <w:szCs w:val="19"/>
        </w:rPr>
        <w:t>for on-bill tariff energy efficiency programs such as PAYS</w:t>
      </w:r>
      <w:r w:rsidR="4370F003" w:rsidRPr="727BFE15">
        <w:rPr>
          <w:sz w:val="19"/>
          <w:szCs w:val="19"/>
        </w:rPr>
        <w:t>..</w:t>
      </w:r>
      <w:r w:rsidRPr="727BFE15">
        <w:rPr>
          <w:sz w:val="19"/>
          <w:szCs w:val="19"/>
        </w:rPr>
        <w:t xml:space="preserve">. </w:t>
      </w:r>
    </w:p>
    <w:p w14:paraId="10FD0900" w14:textId="2F06AEE4" w:rsidR="00123866" w:rsidRPr="00DC3869" w:rsidRDefault="2C30BB06" w:rsidP="727BFE15">
      <w:pPr>
        <w:pStyle w:val="ListParagraph"/>
        <w:numPr>
          <w:ilvl w:val="0"/>
          <w:numId w:val="18"/>
        </w:numPr>
        <w:ind w:left="1440" w:right="720"/>
        <w:rPr>
          <w:sz w:val="19"/>
          <w:szCs w:val="19"/>
        </w:rPr>
      </w:pPr>
      <w:r w:rsidRPr="727BFE15">
        <w:rPr>
          <w:sz w:val="19"/>
          <w:szCs w:val="19"/>
        </w:rPr>
        <w:t>In July 2020,</w:t>
      </w:r>
      <w:r w:rsidR="40CB51AD" w:rsidRPr="727BFE15">
        <w:rPr>
          <w:sz w:val="19"/>
          <w:szCs w:val="19"/>
        </w:rPr>
        <w:t xml:space="preserve"> </w:t>
      </w:r>
      <w:r w:rsidRPr="727BFE15">
        <w:rPr>
          <w:sz w:val="19"/>
          <w:szCs w:val="19"/>
        </w:rPr>
        <w:t>Duke Energy reached a partial settlement with intervenors in its grid modernization rate case,</w:t>
      </w:r>
      <w:r w:rsidR="40CB51AD" w:rsidRPr="727BFE15">
        <w:rPr>
          <w:sz w:val="19"/>
          <w:szCs w:val="19"/>
        </w:rPr>
        <w:t xml:space="preserve"> </w:t>
      </w:r>
      <w:r w:rsidRPr="727BFE15">
        <w:rPr>
          <w:sz w:val="19"/>
          <w:szCs w:val="19"/>
        </w:rPr>
        <w:t>agreeing to craft a tariffed on-bill program that could use the PAYS system, and that settlemen</w:t>
      </w:r>
      <w:r w:rsidR="40CB51AD" w:rsidRPr="727BFE15">
        <w:rPr>
          <w:sz w:val="19"/>
          <w:szCs w:val="19"/>
        </w:rPr>
        <w:t xml:space="preserve">t </w:t>
      </w:r>
      <w:r w:rsidRPr="727BFE15">
        <w:rPr>
          <w:sz w:val="19"/>
          <w:szCs w:val="19"/>
        </w:rPr>
        <w:t>has been submitted to the North Carolina Utilities Commission for consideration</w:t>
      </w:r>
      <w:r w:rsidR="0A09055A" w:rsidRPr="727BFE15">
        <w:rPr>
          <w:sz w:val="19"/>
          <w:szCs w:val="19"/>
        </w:rPr>
        <w:t>..</w:t>
      </w:r>
      <w:r w:rsidRPr="727BFE15">
        <w:rPr>
          <w:sz w:val="19"/>
          <w:szCs w:val="19"/>
        </w:rPr>
        <w:t>.</w:t>
      </w:r>
    </w:p>
    <w:p w14:paraId="5BE84EC8" w14:textId="40D5826D" w:rsidR="008B0DCD" w:rsidRDefault="4370F003" w:rsidP="008B0DCD">
      <w:pPr>
        <w:pStyle w:val="NormalWeb"/>
      </w:pPr>
      <w:r>
        <w:t>The Southeast Energy Efficiency Alliance (SEEA)</w:t>
      </w:r>
      <w:r w:rsidR="007D69FF">
        <w:rPr>
          <w:rStyle w:val="FootnoteReference"/>
        </w:rPr>
        <w:footnoteReference w:id="27"/>
      </w:r>
      <w:r>
        <w:t xml:space="preserve"> has compiled t</w:t>
      </w:r>
      <w:r w:rsidR="73756A74">
        <w:t>he following case studies</w:t>
      </w:r>
      <w:r>
        <w:t>:</w:t>
      </w:r>
      <w:r w:rsidR="008B0DCD">
        <w:rPr>
          <w:rStyle w:val="FootnoteReference"/>
        </w:rPr>
        <w:footnoteReference w:id="28"/>
      </w:r>
    </w:p>
    <w:p w14:paraId="7A2329B1" w14:textId="46F1EAEC" w:rsidR="008B0DCD" w:rsidRPr="000E1A2E" w:rsidRDefault="73756A74" w:rsidP="727BFE15">
      <w:pPr>
        <w:pStyle w:val="ListParagraph"/>
        <w:numPr>
          <w:ilvl w:val="0"/>
          <w:numId w:val="19"/>
        </w:numPr>
        <w:spacing w:after="0"/>
        <w:ind w:left="1440" w:right="720"/>
        <w:rPr>
          <w:color w:val="444444"/>
          <w:sz w:val="19"/>
          <w:szCs w:val="19"/>
        </w:rPr>
      </w:pPr>
      <w:r w:rsidRPr="727BFE15">
        <w:rPr>
          <w:b/>
          <w:bCs/>
          <w:sz w:val="19"/>
          <w:szCs w:val="19"/>
        </w:rPr>
        <w:t>Ouachita Electric Cooperative – HELP PAYS</w:t>
      </w:r>
      <w:r w:rsidRPr="727BFE15">
        <w:rPr>
          <w:b/>
          <w:bCs/>
          <w:sz w:val="19"/>
          <w:szCs w:val="19"/>
          <w:vertAlign w:val="superscript"/>
        </w:rPr>
        <w:t>®</w:t>
      </w:r>
      <w:r w:rsidRPr="727BFE15">
        <w:rPr>
          <w:b/>
          <w:bCs/>
          <w:sz w:val="19"/>
          <w:szCs w:val="19"/>
        </w:rPr>
        <w:t>.</w:t>
      </w:r>
      <w:r w:rsidRPr="727BFE15">
        <w:rPr>
          <w:sz w:val="19"/>
          <w:szCs w:val="19"/>
        </w:rPr>
        <w:t xml:space="preserve"> Ouachita Electric Cooperative started its HELP PAYS</w:t>
      </w:r>
      <w:r w:rsidRPr="727BFE15">
        <w:rPr>
          <w:b/>
          <w:bCs/>
          <w:sz w:val="19"/>
          <w:szCs w:val="19"/>
          <w:vertAlign w:val="superscript"/>
        </w:rPr>
        <w:t>®</w:t>
      </w:r>
      <w:r w:rsidRPr="727BFE15">
        <w:rPr>
          <w:sz w:val="19"/>
          <w:szCs w:val="19"/>
        </w:rPr>
        <w:t xml:space="preserve"> program in 2016 after recognizing its previous on-bill loan program, called HELP, posed higher financial risks, limited eligibility, and limited project size. </w:t>
      </w:r>
      <w:r w:rsidRPr="727BFE15">
        <w:rPr>
          <w:color w:val="444444"/>
          <w:sz w:val="19"/>
          <w:szCs w:val="19"/>
        </w:rPr>
        <w:t>Ouachita Electric worked with its Program Operator, EEtility, to make the transition from making consumer loans to making TOB investments. The tariff was approved by the state’s utility commission in approximately four months, accounting for half of the time in the transition from due diligence to field implementation, which was eight months. Ouachita EMC upgraded 198 homes during eight months of 2016, reaching 2</w:t>
      </w:r>
      <w:r w:rsidR="19885A5A" w:rsidRPr="727BFE15">
        <w:rPr>
          <w:color w:val="444444"/>
          <w:sz w:val="19"/>
          <w:szCs w:val="19"/>
        </w:rPr>
        <w:t>%</w:t>
      </w:r>
      <w:r w:rsidRPr="727BFE15">
        <w:rPr>
          <w:color w:val="444444"/>
          <w:sz w:val="19"/>
          <w:szCs w:val="19"/>
        </w:rPr>
        <w:t xml:space="preserve"> of the market in the utility’s service area. The utility prioritized attention to renters in multifamily homes, making an offer to capitalize upgrades in every rental unit assessed. Of eligible units, 100</w:t>
      </w:r>
      <w:r w:rsidR="19885A5A" w:rsidRPr="727BFE15">
        <w:rPr>
          <w:color w:val="444444"/>
          <w:sz w:val="19"/>
          <w:szCs w:val="19"/>
        </w:rPr>
        <w:t>%</w:t>
      </w:r>
      <w:r w:rsidRPr="727BFE15">
        <w:rPr>
          <w:color w:val="444444"/>
          <w:sz w:val="19"/>
          <w:szCs w:val="19"/>
        </w:rPr>
        <w:t xml:space="preserve"> opted to proceed with the upgrades. In addition, more than 80</w:t>
      </w:r>
      <w:r w:rsidR="16ED7D42" w:rsidRPr="727BFE15">
        <w:rPr>
          <w:color w:val="444444"/>
          <w:sz w:val="19"/>
          <w:szCs w:val="19"/>
        </w:rPr>
        <w:t>%</w:t>
      </w:r>
      <w:r w:rsidRPr="727BFE15">
        <w:rPr>
          <w:color w:val="444444"/>
          <w:sz w:val="19"/>
          <w:szCs w:val="19"/>
        </w:rPr>
        <w:t xml:space="preserve"> of the residents in single-family homes who received an offer through the HELP PAYS® program accepted it. Comparing the best four months of the previous on-bill loan program to the first four months of the HELP PAYS® program, the project size and number of participants doubled. The average cost of an upgrade project was $5,634, and the average estimated energy savings was 22</w:t>
      </w:r>
      <w:r w:rsidR="19885A5A" w:rsidRPr="727BFE15">
        <w:rPr>
          <w:color w:val="444444"/>
          <w:sz w:val="19"/>
          <w:szCs w:val="19"/>
        </w:rPr>
        <w:t>%</w:t>
      </w:r>
      <w:r w:rsidRPr="727BFE15">
        <w:rPr>
          <w:color w:val="444444"/>
          <w:sz w:val="19"/>
          <w:szCs w:val="19"/>
        </w:rPr>
        <w:t>.</w:t>
      </w:r>
    </w:p>
    <w:p w14:paraId="32035FBE" w14:textId="66FAD38C" w:rsidR="008B0DCD" w:rsidRPr="000E1A2E" w:rsidRDefault="73756A74" w:rsidP="727BFE15">
      <w:pPr>
        <w:pStyle w:val="NormalWeb"/>
        <w:numPr>
          <w:ilvl w:val="0"/>
          <w:numId w:val="19"/>
        </w:numPr>
        <w:ind w:left="1440" w:right="720"/>
        <w:rPr>
          <w:sz w:val="19"/>
          <w:szCs w:val="19"/>
        </w:rPr>
      </w:pPr>
      <w:r w:rsidRPr="727BFE15">
        <w:rPr>
          <w:b/>
          <w:bCs/>
          <w:sz w:val="19"/>
          <w:szCs w:val="19"/>
        </w:rPr>
        <w:t xml:space="preserve">MACED – How$mart®KY. </w:t>
      </w:r>
      <w:r w:rsidRPr="727BFE15">
        <w:rPr>
          <w:sz w:val="19"/>
          <w:szCs w:val="19"/>
        </w:rPr>
        <w:t>The Mountain Association for Community Economic Development (MACED) has administered the How$mart®KY TOB program since 2011. At the time of publication, it is offered by six electric co-ops, all of which partner with MACED as the Program Operator. MACED worked with the co-ops to adapt its program design from intellectual property licensed from the Energy Efficiency Institute, as well as on precedents developed by Midwest Energy’s How$mart® program in Kansas. Residential and small commercial customer classes are eligible, and most of the projects are residential. As of June 2019, the program had assessed 607 buildings, offered upgrades to 405 member-owners, and facilitated 320 energy efficiency retrofits. The average job cost is $7,743, and the cost recovery rate is o</w:t>
      </w:r>
      <w:r w:rsidRPr="727BFE15">
        <w:rPr>
          <w:color w:val="282828" w:themeColor="text1"/>
          <w:sz w:val="19"/>
          <w:szCs w:val="19"/>
        </w:rPr>
        <w:t>ver 99.6</w:t>
      </w:r>
      <w:r w:rsidR="19885A5A" w:rsidRPr="727BFE15">
        <w:rPr>
          <w:color w:val="282828" w:themeColor="text1"/>
          <w:sz w:val="19"/>
          <w:szCs w:val="19"/>
        </w:rPr>
        <w:t>%</w:t>
      </w:r>
      <w:r w:rsidRPr="727BFE15">
        <w:rPr>
          <w:color w:val="282828" w:themeColor="text1"/>
          <w:sz w:val="19"/>
          <w:szCs w:val="19"/>
        </w:rPr>
        <w:t xml:space="preserve">, with </w:t>
      </w:r>
      <w:r w:rsidRPr="727BFE15">
        <w:rPr>
          <w:sz w:val="19"/>
          <w:szCs w:val="19"/>
        </w:rPr>
        <w:t>zero disconnections for non-payment. The average monthly projected savings is $51.98, or 5492 kWh, while the average monthly charge is $39.98.</w:t>
      </w:r>
    </w:p>
    <w:p w14:paraId="467CB9FD" w14:textId="5A6A692F" w:rsidR="008B0DCD" w:rsidRPr="000E1A2E" w:rsidRDefault="73756A74" w:rsidP="727BFE15">
      <w:pPr>
        <w:pStyle w:val="NormalWeb"/>
        <w:numPr>
          <w:ilvl w:val="0"/>
          <w:numId w:val="19"/>
        </w:numPr>
        <w:ind w:left="1440" w:right="720"/>
        <w:rPr>
          <w:sz w:val="19"/>
          <w:szCs w:val="19"/>
        </w:rPr>
      </w:pPr>
      <w:r w:rsidRPr="727BFE15">
        <w:rPr>
          <w:b/>
          <w:bCs/>
          <w:sz w:val="19"/>
          <w:szCs w:val="19"/>
        </w:rPr>
        <w:t xml:space="preserve">Roanoke Electric Cooperative – Upgrade to $ave. </w:t>
      </w:r>
      <w:r w:rsidRPr="727BFE15">
        <w:rPr>
          <w:sz w:val="19"/>
          <w:szCs w:val="19"/>
        </w:rPr>
        <w:t>Roanoke Electric Cooperative began Upgrade to $ave in July 2015 after finding the vast majority of customers with the highest bills in its service area would not qualify for or be willing to apply for a loan through its debt-based program. As of September 2017, the average Upgrade to $ave job cost was $7,200, and the average monthly tariffed charge for cost recovery was about $60, with cost recovery ranging from 4-12 years, while the estimated monthly savings averaged over $80 per month. Participants are estimated to keep an average of 25</w:t>
      </w:r>
      <w:r w:rsidR="16ED7D42" w:rsidRPr="727BFE15">
        <w:rPr>
          <w:sz w:val="19"/>
          <w:szCs w:val="19"/>
        </w:rPr>
        <w:t>%</w:t>
      </w:r>
      <w:r w:rsidRPr="727BFE15">
        <w:rPr>
          <w:sz w:val="19"/>
          <w:szCs w:val="19"/>
        </w:rPr>
        <w:t xml:space="preserve"> of savings during the cost recovery period. As of June 30, 2019, the co-op has invested approximately $3.4 million into energy efficient upgrades for member-owners through Upgrade to $ave and still has nearly $3.1 million left in federal financing to invest in the program with a capital cost less than 3</w:t>
      </w:r>
      <w:r w:rsidR="16ED7D42" w:rsidRPr="727BFE15">
        <w:rPr>
          <w:sz w:val="19"/>
          <w:szCs w:val="19"/>
        </w:rPr>
        <w:t>%</w:t>
      </w:r>
      <w:r w:rsidRPr="727BFE15">
        <w:rPr>
          <w:sz w:val="19"/>
          <w:szCs w:val="19"/>
        </w:rPr>
        <w:t>. 638 member-owners have already benefited from this high-impact program.</w:t>
      </w:r>
    </w:p>
    <w:p w14:paraId="39F80111" w14:textId="4049BC0C" w:rsidR="008B0DCD" w:rsidRPr="000E1A2E" w:rsidRDefault="73756A74" w:rsidP="727BFE15">
      <w:pPr>
        <w:pStyle w:val="NormalWeb"/>
        <w:numPr>
          <w:ilvl w:val="0"/>
          <w:numId w:val="19"/>
        </w:numPr>
        <w:ind w:left="1440" w:right="720"/>
        <w:rPr>
          <w:sz w:val="19"/>
          <w:szCs w:val="19"/>
        </w:rPr>
      </w:pPr>
      <w:r w:rsidRPr="727BFE15">
        <w:rPr>
          <w:b/>
          <w:bCs/>
          <w:sz w:val="19"/>
          <w:szCs w:val="19"/>
        </w:rPr>
        <w:t>Appalachian Electric Cooperative – U-$ave Advantage.</w:t>
      </w:r>
      <w:r w:rsidRPr="727BFE15">
        <w:rPr>
          <w:sz w:val="19"/>
          <w:szCs w:val="19"/>
        </w:rPr>
        <w:t xml:space="preserve"> Appalachian Electric Cooperative was the third cooperative in the Southeast to implement a PAYS program and the first Tennessee Valley Authority local power company to do so. As of September 2019, the average job cost was $6,414, while the estimated monthly savings averaged more than $68 and 640 kWh per month. 37 member-owners have already benefited from this high-impact program, the result of an 82</w:t>
      </w:r>
      <w:r w:rsidR="16ED7D42" w:rsidRPr="727BFE15">
        <w:rPr>
          <w:sz w:val="19"/>
          <w:szCs w:val="19"/>
        </w:rPr>
        <w:t>%</w:t>
      </w:r>
      <w:r w:rsidRPr="727BFE15">
        <w:rPr>
          <w:sz w:val="19"/>
          <w:szCs w:val="19"/>
        </w:rPr>
        <w:t xml:space="preserve"> conversion rate of eligible homeowners.</w:t>
      </w:r>
    </w:p>
    <w:p w14:paraId="578E7BEB" w14:textId="0DF8DAAA" w:rsidR="004E3E79" w:rsidRDefault="004E3E79" w:rsidP="00B94398">
      <w:pPr>
        <w:pStyle w:val="Heading4"/>
      </w:pPr>
      <w:r>
        <w:t xml:space="preserve">California Policy </w:t>
      </w:r>
      <w:r w:rsidR="00EF224B">
        <w:t xml:space="preserve">and Program </w:t>
      </w:r>
      <w:r>
        <w:t>Precedents</w:t>
      </w:r>
    </w:p>
    <w:p w14:paraId="69AFC119" w14:textId="26B3B938" w:rsidR="006E2D67" w:rsidRDefault="0E325A80" w:rsidP="006E2D67">
      <w:r>
        <w:t xml:space="preserve">In </w:t>
      </w:r>
      <w:r w:rsidR="40CB51AD">
        <w:t>California</w:t>
      </w:r>
      <w:r>
        <w:t>, Senate Bill 350 (</w:t>
      </w:r>
      <w:r w:rsidRPr="00CD6704">
        <w:t>De León</w:t>
      </w:r>
      <w:r>
        <w:t xml:space="preserve">, </w:t>
      </w:r>
      <w:r w:rsidRPr="006853C5">
        <w:t>Chapter 547, Statutes of 2015</w:t>
      </w:r>
      <w:r>
        <w:t>) directed the CEC to study barriers to low-income customers participating in the clean</w:t>
      </w:r>
      <w:r w:rsidR="16ED7D42">
        <w:t>-</w:t>
      </w:r>
      <w:r>
        <w:t xml:space="preserve">energy economy. After months of extensive stakeholder consultation and </w:t>
      </w:r>
      <w:r w:rsidR="16ED7D42">
        <w:t xml:space="preserve">several </w:t>
      </w:r>
      <w:r>
        <w:t xml:space="preserve">rounds of public comments and draft review, the CEC concluded, as expected, that </w:t>
      </w:r>
      <w:r w:rsidR="16ED7D42">
        <w:t xml:space="preserve">access to </w:t>
      </w:r>
      <w:r>
        <w:t>financing is a barrier to low-income customers. In its report,</w:t>
      </w:r>
      <w:r w:rsidR="6E2692BD" w:rsidRPr="00356C24">
        <w:rPr>
          <w:vertAlign w:val="superscript"/>
        </w:rPr>
        <w:t xml:space="preserve"> </w:t>
      </w:r>
      <w:r w:rsidR="00356C24">
        <w:rPr>
          <w:vertAlign w:val="superscript"/>
        </w:rPr>
        <w:footnoteReference w:id="29"/>
      </w:r>
      <w:r>
        <w:t xml:space="preserve"> the CEC advanced recommendations for addressing barriers to financing, including the following:</w:t>
      </w:r>
    </w:p>
    <w:p w14:paraId="168FDB2A" w14:textId="6F8A9676" w:rsidR="006E2D67" w:rsidRPr="00356C24" w:rsidRDefault="0E325A80" w:rsidP="727BFE15">
      <w:pPr>
        <w:ind w:left="720" w:right="720"/>
        <w:rPr>
          <w:sz w:val="19"/>
          <w:szCs w:val="19"/>
        </w:rPr>
      </w:pPr>
      <w:r w:rsidRPr="00356C24">
        <w:rPr>
          <w:sz w:val="19"/>
          <w:szCs w:val="19"/>
        </w:rPr>
        <w:t xml:space="preserve">The CPUC should consider developing a tariffed on-bill </w:t>
      </w:r>
      <w:r w:rsidR="19D9C376" w:rsidRPr="00356C24">
        <w:rPr>
          <w:sz w:val="19"/>
          <w:szCs w:val="19"/>
        </w:rPr>
        <w:t>Program</w:t>
      </w:r>
      <w:r w:rsidRPr="00356C24">
        <w:rPr>
          <w:sz w:val="19"/>
          <w:szCs w:val="19"/>
        </w:rPr>
        <w:t xml:space="preserve"> for investments in energy efficiency that targets low-income customers regardless of credit score or renter status, and that do not pass on a debt obligation to the customer. Utilities could use the program to make energy upgrade investments and recover the cost through the bill, so long as the recovery charge is less than the [total] estimated savings. The Energy Commission should encourage and provide technical assistance to publicly owned utilities (POUs) and other load-serving entities seeking to implement a tariffed on-bill </w:t>
      </w:r>
      <w:r w:rsidR="19D9C376" w:rsidRPr="00356C24">
        <w:rPr>
          <w:sz w:val="19"/>
          <w:szCs w:val="19"/>
        </w:rPr>
        <w:t>Program</w:t>
      </w:r>
      <w:r w:rsidRPr="00356C24">
        <w:rPr>
          <w:sz w:val="19"/>
          <w:szCs w:val="19"/>
        </w:rPr>
        <w:t>.</w:t>
      </w:r>
    </w:p>
    <w:p w14:paraId="27D79022" w14:textId="076F7A9C" w:rsidR="006E2D67" w:rsidRPr="00160543" w:rsidRDefault="0E325A80" w:rsidP="006E2D67">
      <w:r>
        <w:t xml:space="preserve">Following the CEC’s Barriers Study, the University of California Center for Law, Energy &amp; Environment convened </w:t>
      </w:r>
      <w:r w:rsidR="6E2692BD">
        <w:t xml:space="preserve">multifamily housing experts </w:t>
      </w:r>
      <w:r>
        <w:t>to give closer attention to barriers uniquely affecting renters. The results of their deliberations were published in a report</w:t>
      </w:r>
      <w:r w:rsidR="00356C24" w:rsidRPr="00356C24">
        <w:rPr>
          <w:vertAlign w:val="superscript"/>
        </w:rPr>
        <w:footnoteReference w:id="30"/>
      </w:r>
      <w:r>
        <w:t xml:space="preserve"> that identified recommendations to address key challenges, including lack of reliable, long-term funding that inhibits market transformation:</w:t>
      </w:r>
    </w:p>
    <w:p w14:paraId="13C132D5" w14:textId="67BB0448" w:rsidR="006E2D67" w:rsidRPr="000A5823" w:rsidRDefault="0E325A80" w:rsidP="727BFE15">
      <w:pPr>
        <w:ind w:left="720" w:right="720"/>
        <w:rPr>
          <w:rFonts w:eastAsia="Times New Roman"/>
          <w:sz w:val="19"/>
          <w:szCs w:val="19"/>
        </w:rPr>
      </w:pPr>
      <w:r w:rsidRPr="000A5823">
        <w:rPr>
          <w:rFonts w:eastAsia="Times New Roman"/>
          <w:sz w:val="19"/>
          <w:szCs w:val="19"/>
        </w:rPr>
        <w:t xml:space="preserve">The California Public Utilities Commission and utilities could propose, and institute utility tariffed on-bill programs that capitalize energy efficiency retrofits without making [consumer] loans. … This model is similar to on-bill financing in that the utility bears the upfront cost of efficiency measures and [the utility] recoups that cost via a </w:t>
      </w:r>
      <w:r w:rsidR="079E8B9E" w:rsidRPr="000A5823">
        <w:rPr>
          <w:rFonts w:eastAsia="Times New Roman"/>
          <w:sz w:val="19"/>
          <w:szCs w:val="19"/>
        </w:rPr>
        <w:t>Program Service Charge</w:t>
      </w:r>
      <w:r w:rsidRPr="000A5823">
        <w:rPr>
          <w:rFonts w:eastAsia="Times New Roman"/>
          <w:sz w:val="19"/>
          <w:szCs w:val="19"/>
        </w:rPr>
        <w:t xml:space="preserve"> (known as the “tariffed charge”) on the customer’s monthly bill that is “tied to the meter” (i.e., is passed on to subsequent occupants). The significant difference is that the utility makes an investment rather than a loan. As a result, there are no limitations to eligibility related to income or credit history.</w:t>
      </w:r>
    </w:p>
    <w:p w14:paraId="0F9BE6C4" w14:textId="5488D1DB" w:rsidR="006E2D67" w:rsidRDefault="0E325A80" w:rsidP="727BFE15">
      <w:r>
        <w:t xml:space="preserve">In a separate and subsequent process devoted specifically to building electrification, </w:t>
      </w:r>
      <w:r w:rsidR="64FE6E6A">
        <w:t xml:space="preserve">the </w:t>
      </w:r>
      <w:r>
        <w:t xml:space="preserve">Greenlining Institute and Energy Efficiency </w:t>
      </w:r>
      <w:bookmarkStart w:id="26" w:name="_Int_z8VPHwlq"/>
      <w:r>
        <w:t>For</w:t>
      </w:r>
      <w:bookmarkEnd w:id="26"/>
      <w:r>
        <w:t xml:space="preserve"> All convened stakeholders to </w:t>
      </w:r>
      <w:r w:rsidR="64FE6E6A">
        <w:t xml:space="preserve">design </w:t>
      </w:r>
      <w:r>
        <w:t>a framework</w:t>
      </w:r>
      <w:r w:rsidR="64FE6E6A">
        <w:t xml:space="preserve">, released in September 2019, </w:t>
      </w:r>
      <w:r>
        <w:t>for equitable building electrification. The framework underscores the importance of ensuring funding for energy efficiency and clean</w:t>
      </w:r>
      <w:r w:rsidR="64FE6E6A">
        <w:t>-</w:t>
      </w:r>
      <w:r>
        <w:t>energy programs</w:t>
      </w:r>
      <w:r w:rsidR="64FE6E6A">
        <w:t>. I</w:t>
      </w:r>
      <w:r>
        <w:t>t</w:t>
      </w:r>
      <w:r w:rsidR="64FE6E6A">
        <w:t>s</w:t>
      </w:r>
      <w:r>
        <w:t xml:space="preserve"> recommend</w:t>
      </w:r>
      <w:r w:rsidR="64FE6E6A">
        <w:t xml:space="preserve">ations included “[finding] </w:t>
      </w:r>
      <w:r>
        <w:t>ways to support Environmental and Social Justice (ESJ) households through alternative financing such as tariffed on-bill financing.</w:t>
      </w:r>
      <w:r w:rsidR="64FE6E6A">
        <w:t>”</w:t>
      </w:r>
      <w:r w:rsidR="006E2D67">
        <w:rPr>
          <w:rStyle w:val="FootnoteReference"/>
        </w:rPr>
        <w:footnoteReference w:id="31"/>
      </w:r>
    </w:p>
    <w:p w14:paraId="2A90990F" w14:textId="19CF2649" w:rsidR="006E2D67" w:rsidRDefault="0E325A80" w:rsidP="727BFE15">
      <w:r>
        <w:t>The CEC issues an Energy Efficiency Action Plan for the state every two years</w:t>
      </w:r>
      <w:r w:rsidR="4E01884F">
        <w:t xml:space="preserve">. The </w:t>
      </w:r>
      <w:r>
        <w:t>Plan</w:t>
      </w:r>
      <w:r w:rsidR="4E01884F">
        <w:t>,</w:t>
      </w:r>
      <w:r>
        <w:t xml:space="preserve"> finalized in December 2019</w:t>
      </w:r>
      <w:r w:rsidR="4E01884F">
        <w:t>,</w:t>
      </w:r>
      <w:r>
        <w:t xml:space="preserve"> </w:t>
      </w:r>
      <w:r w:rsidR="4E01884F">
        <w:t xml:space="preserve">contains </w:t>
      </w:r>
      <w:r>
        <w:t>a similar recommendation:</w:t>
      </w:r>
      <w:r w:rsidR="4E01884F">
        <w:t xml:space="preserve"> “</w:t>
      </w:r>
      <w:r w:rsidRPr="00931C87">
        <w:t>Implement tariffed on-bill repayment programs statewide to open new financing mechanisms for low-to-middle-income households and multifamily units, with eligibility not based on credit score or income</w:t>
      </w:r>
      <w:r>
        <w:t>.</w:t>
      </w:r>
      <w:r w:rsidR="4E01884F">
        <w:t>”</w:t>
      </w:r>
      <w:r w:rsidR="006E2D67">
        <w:rPr>
          <w:rStyle w:val="FootnoteReference"/>
        </w:rPr>
        <w:footnoteReference w:id="32"/>
      </w:r>
    </w:p>
    <w:p w14:paraId="084CA4B3" w14:textId="6F2BD230" w:rsidR="006E2D67" w:rsidRDefault="2A12BF46" w:rsidP="006E2D67">
      <w:r>
        <w:t>Building on this</w:t>
      </w:r>
      <w:r w:rsidR="623E875F">
        <w:t xml:space="preserve"> body of policy recommendations, the Building Decarbonization Coalition </w:t>
      </w:r>
      <w:r w:rsidR="5321447F">
        <w:t>launched the Accessible Financing Project in 2019</w:t>
      </w:r>
      <w:r w:rsidR="0DD6E4C7">
        <w:t xml:space="preserve"> to </w:t>
      </w:r>
      <w:r w:rsidR="3AA793BA">
        <w:t xml:space="preserve">map policy pathways </w:t>
      </w:r>
      <w:r w:rsidR="0DD6E4C7">
        <w:t xml:space="preserve">for implementing </w:t>
      </w:r>
      <w:r w:rsidR="5E6C5526">
        <w:t xml:space="preserve">both </w:t>
      </w:r>
      <w:r w:rsidR="0DD6E4C7">
        <w:t>recommendations. The project</w:t>
      </w:r>
      <w:r w:rsidR="1CB30692">
        <w:t xml:space="preserve"> produced</w:t>
      </w:r>
      <w:r w:rsidR="28E99C64">
        <w:t xml:space="preserve"> </w:t>
      </w:r>
      <w:r w:rsidR="28E99C64" w:rsidRPr="727BFE15">
        <w:rPr>
          <w:i/>
          <w:iCs/>
        </w:rPr>
        <w:t>Towards an Accessible Financing Solution: A Policy Roadmap with Program Implementation Considerations for Tariffed On-Bill Programs</w:t>
      </w:r>
      <w:r w:rsidR="14A0A781" w:rsidRPr="727BFE15">
        <w:rPr>
          <w:i/>
          <w:iCs/>
        </w:rPr>
        <w:t xml:space="preserve">, </w:t>
      </w:r>
      <w:r w:rsidR="28E99C64">
        <w:t>in June 2020.</w:t>
      </w:r>
      <w:r w:rsidR="00EA49EE">
        <w:rPr>
          <w:rStyle w:val="FootnoteReference"/>
        </w:rPr>
        <w:footnoteReference w:id="33"/>
      </w:r>
      <w:r w:rsidR="14CA405D">
        <w:t xml:space="preserve"> </w:t>
      </w:r>
      <w:r w:rsidR="0E325A80">
        <w:t xml:space="preserve">Consistent with the </w:t>
      </w:r>
      <w:r w:rsidR="14CA405D">
        <w:t xml:space="preserve">policy </w:t>
      </w:r>
      <w:r w:rsidR="0E325A80">
        <w:t xml:space="preserve">recommendations cited </w:t>
      </w:r>
      <w:r w:rsidR="14CA405D">
        <w:t>above</w:t>
      </w:r>
      <w:r w:rsidR="0E325A80">
        <w:t>, the BDC Accessible Financing Project research team prioritized attention to t</w:t>
      </w:r>
      <w:r w:rsidR="0E325A80" w:rsidRPr="00034D2E">
        <w:t xml:space="preserve">he potential </w:t>
      </w:r>
      <w:r w:rsidR="6DF15D9E">
        <w:t xml:space="preserve">for </w:t>
      </w:r>
      <w:r w:rsidR="0E325A80" w:rsidRPr="00034D2E">
        <w:t>address</w:t>
      </w:r>
      <w:r w:rsidR="6DF15D9E">
        <w:t>ing</w:t>
      </w:r>
      <w:r w:rsidR="0E325A80" w:rsidRPr="00034D2E">
        <w:t xml:space="preserve"> the key design requirements with site-specific investment and cost recovery through utility tariffed on-bill programs.</w:t>
      </w:r>
      <w:r w:rsidR="0F83D8E7">
        <w:t xml:space="preserve"> The </w:t>
      </w:r>
      <w:r w:rsidR="2E10F33F">
        <w:t xml:space="preserve">roadmap </w:t>
      </w:r>
      <w:r w:rsidR="0F83D8E7">
        <w:t xml:space="preserve">has sparked renewed interest in </w:t>
      </w:r>
      <w:r w:rsidR="2E10F33F">
        <w:t>t</w:t>
      </w:r>
      <w:r w:rsidR="0F83D8E7">
        <w:t xml:space="preserve">ariffed </w:t>
      </w:r>
      <w:r w:rsidR="2E10F33F">
        <w:t>o</w:t>
      </w:r>
      <w:r w:rsidR="0F83D8E7">
        <w:t>n-</w:t>
      </w:r>
      <w:r w:rsidR="2E10F33F">
        <w:t>b</w:t>
      </w:r>
      <w:r w:rsidR="0F83D8E7">
        <w:t>ill solutions in California</w:t>
      </w:r>
      <w:r w:rsidR="2E10F33F">
        <w:t>—</w:t>
      </w:r>
      <w:r w:rsidR="687E7F55">
        <w:t xml:space="preserve">leading to, among other things, the inclusion of a TOB </w:t>
      </w:r>
      <w:r w:rsidR="2E10F33F">
        <w:t>p</w:t>
      </w:r>
      <w:r w:rsidR="19D9C376">
        <w:t>ilot</w:t>
      </w:r>
      <w:r w:rsidR="687E7F55">
        <w:t xml:space="preserve"> </w:t>
      </w:r>
      <w:r w:rsidR="19D9C376">
        <w:t>with</w:t>
      </w:r>
      <w:r w:rsidR="687E7F55">
        <w:t xml:space="preserve">in the </w:t>
      </w:r>
      <w:r w:rsidR="0B8F6315">
        <w:t xml:space="preserve">TECH </w:t>
      </w:r>
      <w:r w:rsidR="6C719726">
        <w:t xml:space="preserve">Clean California </w:t>
      </w:r>
      <w:r w:rsidR="0B8F6315">
        <w:t>scope of work.</w:t>
      </w:r>
    </w:p>
    <w:p w14:paraId="5D69A4CB" w14:textId="2D29076A" w:rsidR="00286CAE" w:rsidRDefault="0F83D8E7" w:rsidP="00D05160">
      <w:pPr>
        <w:pStyle w:val="NormalWeb"/>
      </w:pPr>
      <w:r>
        <w:t xml:space="preserve">At the program level, </w:t>
      </w:r>
      <w:r w:rsidR="1A949240">
        <w:t xml:space="preserve">Sonoma County Regional Climate Protection Authority and the BayREN </w:t>
      </w:r>
      <w:r w:rsidR="19D9C376">
        <w:t xml:space="preserve">have collaborated </w:t>
      </w:r>
      <w:r w:rsidR="1A949240">
        <w:t xml:space="preserve">to design, launch, and improve upon the program model at </w:t>
      </w:r>
      <w:r w:rsidR="6C719726">
        <w:t xml:space="preserve">the Windsor and Hayward </w:t>
      </w:r>
      <w:r w:rsidR="1A949240">
        <w:t xml:space="preserve">municipal </w:t>
      </w:r>
      <w:r w:rsidR="648DD418">
        <w:t xml:space="preserve">water </w:t>
      </w:r>
      <w:r w:rsidR="1A949240">
        <w:t>utilities</w:t>
      </w:r>
      <w:r w:rsidR="69069844">
        <w:t xml:space="preserve">. The collaboration is </w:t>
      </w:r>
      <w:r w:rsidR="19D9C376">
        <w:t>rolling out</w:t>
      </w:r>
      <w:r w:rsidR="1A949240">
        <w:t xml:space="preserve"> a region-wide</w:t>
      </w:r>
      <w:r w:rsidR="69069844">
        <w:t>,</w:t>
      </w:r>
      <w:r w:rsidR="1A949240">
        <w:t xml:space="preserve"> on-bill initiative for </w:t>
      </w:r>
      <w:r w:rsidR="09706E8A">
        <w:t xml:space="preserve">other </w:t>
      </w:r>
      <w:r w:rsidR="1A949240">
        <w:t xml:space="preserve">Bay Area municipal water utilities. This innovative and inclusive </w:t>
      </w:r>
      <w:r w:rsidR="682280A4">
        <w:t xml:space="preserve">investment </w:t>
      </w:r>
      <w:r w:rsidR="1A949240">
        <w:t xml:space="preserve">model facilitates utility customers’ installation of efficiency improvements with no upfront cost. It provides customers in </w:t>
      </w:r>
      <w:r w:rsidR="09706E8A">
        <w:t xml:space="preserve">several </w:t>
      </w:r>
      <w:r w:rsidR="1A949240">
        <w:t>markets a simple and attractive path to install energy- and water-saving technologies with little to no risk</w:t>
      </w:r>
      <w:r w:rsidR="61794C33">
        <w:t xml:space="preserve"> to the customers and includes</w:t>
      </w:r>
      <w:r w:rsidR="1A949240">
        <w:t xml:space="preserve"> affordable and market rate residential rentals and small commercial</w:t>
      </w:r>
      <w:r w:rsidR="61794C33">
        <w:t xml:space="preserve"> buildings</w:t>
      </w:r>
      <w:r w:rsidR="1A949240">
        <w:t>.</w:t>
      </w:r>
    </w:p>
    <w:p w14:paraId="38E3FADB" w14:textId="724F815D" w:rsidR="00286CAE" w:rsidRDefault="1A949240" w:rsidP="00286CAE">
      <w:r>
        <w:t xml:space="preserve">During </w:t>
      </w:r>
      <w:r w:rsidR="61794C33">
        <w:t>the</w:t>
      </w:r>
      <w:r>
        <w:t xml:space="preserve"> </w:t>
      </w:r>
      <w:r w:rsidR="61794C33">
        <w:t>9</w:t>
      </w:r>
      <w:r>
        <w:t>-month PAYS</w:t>
      </w:r>
      <w:r w:rsidRPr="727BFE15">
        <w:rPr>
          <w:vertAlign w:val="superscript"/>
        </w:rPr>
        <w:t>®</w:t>
      </w:r>
      <w:r>
        <w:t xml:space="preserve"> </w:t>
      </w:r>
      <w:r w:rsidR="19D9C376">
        <w:t>Pilot</w:t>
      </w:r>
      <w:r>
        <w:t xml:space="preserve"> in the Town of Windsor, </w:t>
      </w:r>
      <w:r w:rsidR="5B03E2A0">
        <w:t xml:space="preserve">occupants of </w:t>
      </w:r>
      <w:r>
        <w:t>200 single</w:t>
      </w:r>
      <w:r w:rsidR="61794C33">
        <w:t>-</w:t>
      </w:r>
      <w:r>
        <w:t xml:space="preserve">family residences and 225 multifamily units signed up for the program. More people participated in this </w:t>
      </w:r>
      <w:r w:rsidR="5B03E2A0">
        <w:t>p</w:t>
      </w:r>
      <w:r w:rsidR="19D9C376">
        <w:t>rogram</w:t>
      </w:r>
      <w:r>
        <w:t xml:space="preserve"> than </w:t>
      </w:r>
      <w:r w:rsidR="04C0E36D">
        <w:t xml:space="preserve">in any of </w:t>
      </w:r>
      <w:r>
        <w:t>Windsor’s other water conservation programs</w:t>
      </w:r>
      <w:r w:rsidR="04C0E36D">
        <w:t>. I</w:t>
      </w:r>
      <w:r>
        <w:t xml:space="preserve">t was the first time that multifamily properties </w:t>
      </w:r>
      <w:r w:rsidR="04C0E36D">
        <w:t xml:space="preserve">could </w:t>
      </w:r>
      <w:r>
        <w:t>participate in water conservation</w:t>
      </w:r>
      <w:r w:rsidR="04C0E36D">
        <w:t xml:space="preserve"> measures</w:t>
      </w:r>
      <w:r>
        <w:t xml:space="preserve">. Multifamily participants achieved average </w:t>
      </w:r>
      <w:r w:rsidR="43A471C0">
        <w:t xml:space="preserve">annual </w:t>
      </w:r>
      <w:r w:rsidR="353FDE69">
        <w:t xml:space="preserve">savings </w:t>
      </w:r>
      <w:r>
        <w:t>of 10</w:t>
      </w:r>
      <w:r w:rsidR="76CF20C2">
        <w:t xml:space="preserve"> percent</w:t>
      </w:r>
      <w:r>
        <w:t xml:space="preserve"> </w:t>
      </w:r>
      <w:r w:rsidR="353FDE69">
        <w:t xml:space="preserve">in </w:t>
      </w:r>
      <w:r>
        <w:t xml:space="preserve">energy </w:t>
      </w:r>
      <w:r w:rsidR="353FDE69">
        <w:t xml:space="preserve">costs, </w:t>
      </w:r>
      <w:r>
        <w:t>30</w:t>
      </w:r>
      <w:r w:rsidR="76CF20C2">
        <w:t xml:space="preserve"> percent</w:t>
      </w:r>
      <w:r>
        <w:t xml:space="preserve"> </w:t>
      </w:r>
      <w:r w:rsidR="353FDE69">
        <w:t xml:space="preserve">in </w:t>
      </w:r>
      <w:r>
        <w:t>indoor water</w:t>
      </w:r>
      <w:r w:rsidR="353FDE69">
        <w:t xml:space="preserve"> costs</w:t>
      </w:r>
      <w:r>
        <w:t xml:space="preserve">, and $170 in net bill utility </w:t>
      </w:r>
      <w:r w:rsidR="43A471C0">
        <w:t>costs</w:t>
      </w:r>
      <w:r>
        <w:t>.</w:t>
      </w:r>
    </w:p>
    <w:p w14:paraId="5FF3B6ED" w14:textId="42A1F57B" w:rsidR="00EC18CC" w:rsidRDefault="1A949240" w:rsidP="00361B80">
      <w:r>
        <w:t xml:space="preserve">This work </w:t>
      </w:r>
      <w:r w:rsidR="43A471C0">
        <w:t>involved</w:t>
      </w:r>
      <w:r>
        <w:t xml:space="preserve"> strategies to evaluate the local built environment; engage with and research challenges and opportunities presented by potential sources for program capital; quantify energy, water, embedded energy (in water), and overall GHG savings; geographic analysis of project potential based on building stock, utility rates, and project costs; analysis consistent with critical policies and regulations, </w:t>
      </w:r>
      <w:r w:rsidR="2487E6D9">
        <w:t>d</w:t>
      </w:r>
      <w:r>
        <w:t>rought regulations and restrictions, utility rate and tariff requirements associated with Prop</w:t>
      </w:r>
      <w:r w:rsidR="2487E6D9">
        <w:t>osition</w:t>
      </w:r>
      <w:r>
        <w:t xml:space="preserve"> 218</w:t>
      </w:r>
      <w:r w:rsidR="4F087751">
        <w:t xml:space="preserve"> (the “Right to Vote on Taxes Act”)</w:t>
      </w:r>
      <w:r>
        <w:t>, and real estate transactions and customer disclosure requirements and procedures.</w:t>
      </w:r>
    </w:p>
    <w:p w14:paraId="5AD1A4D3" w14:textId="0E09F71E" w:rsidR="00B1064A" w:rsidRDefault="1C6C4EBE" w:rsidP="00B1064A">
      <w:pPr>
        <w:pStyle w:val="Heading3"/>
      </w:pPr>
      <w:r>
        <w:t>Draft</w:t>
      </w:r>
      <w:r w:rsidR="005612A5">
        <w:t xml:space="preserve"> Electric</w:t>
      </w:r>
      <w:r>
        <w:t xml:space="preserve"> </w:t>
      </w:r>
      <w:r w:rsidR="3CB687B6">
        <w:t xml:space="preserve">TOB </w:t>
      </w:r>
      <w:r w:rsidR="6435AD0B">
        <w:t xml:space="preserve">Rate Schedule </w:t>
      </w:r>
      <w:r w:rsidR="29C1A9B8">
        <w:t>for Eligible Participants</w:t>
      </w:r>
      <w:r w:rsidR="6435AD0B">
        <w:t xml:space="preserve"> (“Schedule E-TOB”)</w:t>
      </w:r>
    </w:p>
    <w:p w14:paraId="573FCEC8" w14:textId="16BFD049" w:rsidR="0048144A" w:rsidRPr="00D56F90" w:rsidRDefault="7DF7F52F" w:rsidP="727BFE15">
      <w:pPr>
        <w:rPr>
          <w:rFonts w:eastAsia="Times New Roman"/>
          <w:i/>
          <w:iCs/>
          <w:color w:val="000000"/>
        </w:rPr>
      </w:pPr>
      <w:r w:rsidRPr="727BFE15">
        <w:rPr>
          <w:rFonts w:eastAsia="Times New Roman"/>
          <w:i/>
          <w:iCs/>
          <w:color w:val="000000"/>
        </w:rPr>
        <w:t>From the CPUC:</w:t>
      </w:r>
    </w:p>
    <w:p w14:paraId="4112D858" w14:textId="77E835B2" w:rsidR="0048144A" w:rsidRPr="00D56F90" w:rsidRDefault="7DF7F52F" w:rsidP="727BFE15">
      <w:pPr>
        <w:rPr>
          <w:rFonts w:eastAsia="Times New Roman"/>
          <w:i/>
          <w:iCs/>
          <w:color w:val="000000"/>
        </w:rPr>
      </w:pPr>
      <w:r w:rsidRPr="727BFE15">
        <w:rPr>
          <w:rFonts w:eastAsia="Times New Roman"/>
          <w:i/>
          <w:iCs/>
          <w:color w:val="000000"/>
        </w:rPr>
        <w:t>For tariffed on-bill programs, please include draft tariff language. Also, provide a discussion of:</w:t>
      </w:r>
    </w:p>
    <w:p w14:paraId="0B02717A" w14:textId="375E10D0" w:rsidR="0048144A" w:rsidRPr="00D56F90" w:rsidRDefault="7DF7F52F" w:rsidP="727BFE15">
      <w:pPr>
        <w:pStyle w:val="ListParagraph"/>
        <w:numPr>
          <w:ilvl w:val="0"/>
          <w:numId w:val="57"/>
        </w:numPr>
        <w:rPr>
          <w:rFonts w:eastAsia="Times New Roman"/>
          <w:i/>
          <w:iCs/>
          <w:color w:val="000000"/>
        </w:rPr>
      </w:pPr>
      <w:r w:rsidRPr="727BFE15">
        <w:rPr>
          <w:rFonts w:eastAsia="Times New Roman"/>
          <w:i/>
          <w:iCs/>
          <w:color w:val="000000"/>
        </w:rPr>
        <w:t>The expected payment prioritization of the on-bill charge that discusses any potential legal, regulatory, and customer protection mechanisms included.</w:t>
      </w:r>
    </w:p>
    <w:p w14:paraId="77C81010" w14:textId="014BB51B" w:rsidR="0048144A" w:rsidRPr="00D56F90" w:rsidRDefault="7DF7F52F" w:rsidP="727BFE15">
      <w:pPr>
        <w:pStyle w:val="ListParagraph"/>
        <w:numPr>
          <w:ilvl w:val="0"/>
          <w:numId w:val="57"/>
        </w:numPr>
        <w:rPr>
          <w:rFonts w:eastAsia="Times New Roman"/>
          <w:i/>
          <w:iCs/>
          <w:color w:val="000000"/>
        </w:rPr>
      </w:pPr>
      <w:r w:rsidRPr="727BFE15">
        <w:rPr>
          <w:rFonts w:eastAsia="Times New Roman"/>
          <w:i/>
          <w:iCs/>
          <w:color w:val="000000"/>
        </w:rPr>
        <w:t>Whether the program will be implemented through modifications to an existing or a new tariff offering, and the anticipated costs associated with implementing the updated or new tariff.</w:t>
      </w:r>
    </w:p>
    <w:p w14:paraId="57A6380B" w14:textId="77777777" w:rsidR="0048144A" w:rsidRPr="0048144A" w:rsidRDefault="0048144A" w:rsidP="0037451A">
      <w:pPr>
        <w:rPr>
          <w:rFonts w:eastAsia="Times New Roman"/>
          <w:color w:val="000000"/>
        </w:rPr>
      </w:pPr>
    </w:p>
    <w:p w14:paraId="586D8E9C" w14:textId="5639A6CC" w:rsidR="003B3F2C" w:rsidRDefault="18F9CB68" w:rsidP="727BFE15">
      <w:pPr>
        <w:pStyle w:val="Heading4"/>
      </w:pPr>
      <w:r>
        <w:t>If Program Sponsor is not an IOU</w:t>
      </w:r>
    </w:p>
    <w:p w14:paraId="03A62800" w14:textId="5ADD0BD0" w:rsidR="0037340E" w:rsidRDefault="3C9CDA61" w:rsidP="0037451A">
      <w:pPr>
        <w:rPr>
          <w:rFonts w:eastAsia="Times New Roman"/>
          <w:color w:val="000000"/>
        </w:rPr>
      </w:pPr>
      <w:r w:rsidRPr="727BFE15">
        <w:rPr>
          <w:rFonts w:eastAsia="Times New Roman"/>
          <w:color w:val="000000"/>
        </w:rPr>
        <w:t>[</w:t>
      </w:r>
      <w:r w:rsidR="6BF75F7D" w:rsidRPr="727BFE15">
        <w:rPr>
          <w:rFonts w:eastAsia="Times New Roman"/>
          <w:color w:val="000000"/>
        </w:rPr>
        <w:t>Program Sponsor</w:t>
      </w:r>
      <w:r w:rsidRPr="727BFE15">
        <w:rPr>
          <w:rFonts w:eastAsia="Times New Roman"/>
          <w:color w:val="000000"/>
        </w:rPr>
        <w:t>]</w:t>
      </w:r>
      <w:r w:rsidR="6BF75F7D" w:rsidRPr="727BFE15">
        <w:rPr>
          <w:rFonts w:eastAsia="Times New Roman"/>
          <w:color w:val="000000"/>
        </w:rPr>
        <w:t xml:space="preserve"> has met and conferred with</w:t>
      </w:r>
      <w:r w:rsidR="55AAEE2A" w:rsidRPr="727BFE15">
        <w:rPr>
          <w:rFonts w:eastAsia="Times New Roman"/>
          <w:color w:val="000000"/>
        </w:rPr>
        <w:t xml:space="preserve"> </w:t>
      </w:r>
      <w:r w:rsidR="6BF75F7D" w:rsidRPr="727BFE15">
        <w:rPr>
          <w:rFonts w:eastAsia="Times New Roman"/>
          <w:color w:val="000000"/>
        </w:rPr>
        <w:t>[</w:t>
      </w:r>
      <w:r w:rsidR="33971AC2" w:rsidRPr="727BFE15">
        <w:rPr>
          <w:rFonts w:eastAsia="Times New Roman"/>
          <w:color w:val="000000"/>
        </w:rPr>
        <w:t xml:space="preserve">named </w:t>
      </w:r>
      <w:r w:rsidR="6BF75F7D" w:rsidRPr="727BFE15">
        <w:rPr>
          <w:rFonts w:eastAsia="Times New Roman"/>
          <w:color w:val="000000"/>
        </w:rPr>
        <w:t>IOU] on the appropriate</w:t>
      </w:r>
      <w:r w:rsidR="55AAEE2A" w:rsidRPr="727BFE15">
        <w:rPr>
          <w:rFonts w:eastAsia="Times New Roman"/>
          <w:color w:val="000000"/>
        </w:rPr>
        <w:t xml:space="preserve"> tariff</w:t>
      </w:r>
      <w:r w:rsidR="6BF75F7D" w:rsidRPr="727BFE15">
        <w:rPr>
          <w:rFonts w:eastAsia="Times New Roman"/>
          <w:color w:val="000000"/>
        </w:rPr>
        <w:t xml:space="preserve"> terms</w:t>
      </w:r>
      <w:r w:rsidR="55AAEE2A" w:rsidRPr="727BFE15">
        <w:rPr>
          <w:rFonts w:eastAsia="Times New Roman"/>
          <w:color w:val="000000"/>
        </w:rPr>
        <w:t xml:space="preserve"> to support a Tariffed On-Bill Investment </w:t>
      </w:r>
      <w:r w:rsidR="19D9C376" w:rsidRPr="727BFE15">
        <w:rPr>
          <w:rFonts w:eastAsia="Times New Roman"/>
          <w:color w:val="000000"/>
        </w:rPr>
        <w:t>Program</w:t>
      </w:r>
      <w:r w:rsidR="55AAEE2A" w:rsidRPr="727BFE15">
        <w:rPr>
          <w:rFonts w:eastAsia="Times New Roman"/>
          <w:color w:val="000000"/>
        </w:rPr>
        <w:t>.</w:t>
      </w:r>
      <w:r w:rsidR="0EC26F36" w:rsidRPr="727BFE15">
        <w:rPr>
          <w:rFonts w:eastAsia="Times New Roman"/>
          <w:color w:val="000000"/>
        </w:rPr>
        <w:t xml:space="preserve"> The following proposed terms are informed by those discussions.</w:t>
      </w:r>
    </w:p>
    <w:p w14:paraId="7CF6B700" w14:textId="77777777" w:rsidR="00846E38" w:rsidRDefault="60802026" w:rsidP="727BFE15">
      <w:pPr>
        <w:pStyle w:val="Heading4"/>
      </w:pPr>
      <w:r>
        <w:t xml:space="preserve">If </w:t>
      </w:r>
      <w:r w:rsidR="0A52F1C0">
        <w:t>Program Sponsor is an IOU</w:t>
      </w:r>
    </w:p>
    <w:p w14:paraId="00523476" w14:textId="64ABBB58" w:rsidR="0037451A" w:rsidRDefault="320FC7FD" w:rsidP="0037451A">
      <w:pPr>
        <w:rPr>
          <w:rFonts w:eastAsia="Times New Roman"/>
          <w:color w:val="000000"/>
        </w:rPr>
      </w:pPr>
      <w:r w:rsidRPr="727BFE15">
        <w:rPr>
          <w:rFonts w:eastAsia="Times New Roman"/>
          <w:color w:val="000000"/>
        </w:rPr>
        <w:t>[IOU] hereby respectfully requests t</w:t>
      </w:r>
      <w:r w:rsidR="46B5C59E" w:rsidRPr="727BFE15">
        <w:rPr>
          <w:rFonts w:eastAsia="Times New Roman"/>
          <w:color w:val="000000"/>
        </w:rPr>
        <w:t>he CPUC approve the following new E-TOB tariff.</w:t>
      </w:r>
    </w:p>
    <w:p w14:paraId="6CB3321C" w14:textId="77777777" w:rsidR="0037451A" w:rsidRPr="004C3BA3" w:rsidRDefault="0037451A" w:rsidP="0037451A">
      <w:pPr>
        <w:pStyle w:val="Heading4"/>
      </w:pPr>
      <w:r w:rsidRPr="004C3BA3">
        <w:t>APPLICABILITY</w:t>
      </w:r>
    </w:p>
    <w:p w14:paraId="31965290" w14:textId="7318E57B" w:rsidR="0037451A" w:rsidRPr="004C3BA3" w:rsidRDefault="4FC255D1" w:rsidP="0037451A">
      <w:pPr>
        <w:rPr>
          <w:rFonts w:eastAsia="Times New Roman"/>
          <w:color w:val="000000"/>
        </w:rPr>
      </w:pPr>
      <w:r w:rsidRPr="727BFE15">
        <w:rPr>
          <w:rFonts w:eastAsia="Times New Roman"/>
          <w:color w:val="000000"/>
        </w:rPr>
        <w:t>1.</w:t>
      </w:r>
      <w:r w:rsidR="58700403">
        <w:tab/>
      </w:r>
      <w:r w:rsidRPr="727BFE15">
        <w:rPr>
          <w:rFonts w:eastAsia="Times New Roman"/>
          <w:color w:val="000000"/>
        </w:rPr>
        <w:t>Th</w:t>
      </w:r>
      <w:r w:rsidR="068E999B" w:rsidRPr="727BFE15">
        <w:rPr>
          <w:rFonts w:eastAsia="Times New Roman"/>
          <w:color w:val="000000"/>
        </w:rPr>
        <w:t>e proposed r</w:t>
      </w:r>
      <w:r w:rsidRPr="727BFE15">
        <w:rPr>
          <w:rFonts w:eastAsia="Times New Roman"/>
          <w:color w:val="000000"/>
        </w:rPr>
        <w:t xml:space="preserve">ate </w:t>
      </w:r>
      <w:r w:rsidR="068E999B" w:rsidRPr="727BFE15">
        <w:rPr>
          <w:rFonts w:eastAsia="Times New Roman"/>
          <w:color w:val="000000"/>
        </w:rPr>
        <w:t>s</w:t>
      </w:r>
      <w:r w:rsidRPr="727BFE15">
        <w:rPr>
          <w:rFonts w:eastAsia="Times New Roman"/>
          <w:color w:val="000000"/>
        </w:rPr>
        <w:t xml:space="preserve">chedule </w:t>
      </w:r>
      <w:r w:rsidR="068E999B" w:rsidRPr="727BFE15">
        <w:rPr>
          <w:rFonts w:eastAsia="Times New Roman"/>
          <w:color w:val="000000"/>
        </w:rPr>
        <w:t xml:space="preserve">applies </w:t>
      </w:r>
      <w:r w:rsidRPr="727BFE15">
        <w:rPr>
          <w:rFonts w:eastAsia="Times New Roman"/>
          <w:color w:val="000000"/>
        </w:rPr>
        <w:t xml:space="preserve">to electric service to residential </w:t>
      </w:r>
      <w:r w:rsidR="0447CFDE" w:rsidRPr="727BFE15">
        <w:rPr>
          <w:rFonts w:eastAsia="Times New Roman"/>
          <w:color w:val="000000"/>
        </w:rPr>
        <w:t>meters that</w:t>
      </w:r>
      <w:r w:rsidRPr="727BFE15">
        <w:rPr>
          <w:rFonts w:eastAsia="Times New Roman"/>
          <w:color w:val="000000"/>
        </w:rPr>
        <w:t xml:space="preserve"> meet the eligibility criteria specified in </w:t>
      </w:r>
      <w:r w:rsidR="6F84446D" w:rsidRPr="727BFE15">
        <w:rPr>
          <w:rFonts w:eastAsia="Times New Roman"/>
          <w:color w:val="000000"/>
        </w:rPr>
        <w:t xml:space="preserve">the </w:t>
      </w:r>
      <w:r w:rsidRPr="727BFE15">
        <w:rPr>
          <w:rFonts w:eastAsia="Times New Roman"/>
          <w:color w:val="000000"/>
        </w:rPr>
        <w:t>Participant Eligibility</w:t>
      </w:r>
      <w:r w:rsidR="123DCC50" w:rsidRPr="727BFE15">
        <w:rPr>
          <w:rFonts w:eastAsia="Times New Roman"/>
          <w:color w:val="000000"/>
        </w:rPr>
        <w:t xml:space="preserve"> </w:t>
      </w:r>
      <w:r w:rsidR="6F84446D" w:rsidRPr="727BFE15">
        <w:rPr>
          <w:rFonts w:eastAsia="Times New Roman"/>
          <w:color w:val="000000"/>
        </w:rPr>
        <w:t xml:space="preserve">section </w:t>
      </w:r>
      <w:r w:rsidR="123DCC50" w:rsidRPr="727BFE15">
        <w:rPr>
          <w:rFonts w:eastAsia="Times New Roman"/>
          <w:color w:val="000000"/>
        </w:rPr>
        <w:t>(</w:t>
      </w:r>
      <w:r w:rsidRPr="727BFE15">
        <w:rPr>
          <w:rFonts w:eastAsia="Times New Roman"/>
          <w:color w:val="000000"/>
        </w:rPr>
        <w:t>below</w:t>
      </w:r>
      <w:r w:rsidR="123DCC50" w:rsidRPr="727BFE15">
        <w:rPr>
          <w:rFonts w:eastAsia="Times New Roman"/>
          <w:color w:val="000000"/>
        </w:rPr>
        <w:t>)</w:t>
      </w:r>
      <w:r w:rsidRPr="727BFE15">
        <w:rPr>
          <w:rFonts w:eastAsia="Times New Roman"/>
          <w:color w:val="000000"/>
        </w:rPr>
        <w:t>, and receive</w:t>
      </w:r>
      <w:r w:rsidR="6F84446D" w:rsidRPr="727BFE15">
        <w:rPr>
          <w:rFonts w:eastAsia="Times New Roman"/>
          <w:color w:val="000000"/>
        </w:rPr>
        <w:t>s</w:t>
      </w:r>
      <w:r w:rsidRPr="727BFE15">
        <w:rPr>
          <w:rFonts w:eastAsia="Times New Roman"/>
          <w:color w:val="000000"/>
        </w:rPr>
        <w:t xml:space="preserve"> service under </w:t>
      </w:r>
      <w:r w:rsidR="123DCC50" w:rsidRPr="727BFE15">
        <w:rPr>
          <w:rFonts w:eastAsia="Times New Roman"/>
          <w:color w:val="000000"/>
        </w:rPr>
        <w:t>[</w:t>
      </w:r>
      <w:r w:rsidR="0447CFDE" w:rsidRPr="727BFE15">
        <w:rPr>
          <w:rFonts w:eastAsia="Times New Roman"/>
          <w:color w:val="000000"/>
        </w:rPr>
        <w:t>IOU</w:t>
      </w:r>
      <w:r w:rsidR="6F84446D" w:rsidRPr="727BFE15">
        <w:rPr>
          <w:rFonts w:eastAsia="Times New Roman"/>
          <w:color w:val="000000"/>
        </w:rPr>
        <w:t>’s</w:t>
      </w:r>
      <w:r w:rsidR="123DCC50" w:rsidRPr="727BFE15">
        <w:rPr>
          <w:rFonts w:eastAsia="Times New Roman"/>
          <w:color w:val="000000"/>
        </w:rPr>
        <w:t>]</w:t>
      </w:r>
      <w:r w:rsidRPr="727BFE15">
        <w:rPr>
          <w:rFonts w:eastAsia="Times New Roman"/>
          <w:color w:val="000000"/>
        </w:rPr>
        <w:t xml:space="preserve"> Electric Rate Schedule or a Community Choice Aggregation Rate Schedule. </w:t>
      </w:r>
    </w:p>
    <w:p w14:paraId="6EEA1FDF" w14:textId="3B72B3D8" w:rsidR="0037451A" w:rsidRPr="004C3BA3" w:rsidRDefault="46B5C59E" w:rsidP="0037451A">
      <w:pPr>
        <w:rPr>
          <w:rFonts w:eastAsia="Times New Roman"/>
          <w:color w:val="000000"/>
        </w:rPr>
      </w:pPr>
      <w:r w:rsidRPr="727BFE15">
        <w:rPr>
          <w:rFonts w:eastAsia="Times New Roman"/>
          <w:color w:val="000000"/>
        </w:rPr>
        <w:t>2.</w:t>
      </w:r>
      <w:r w:rsidR="0037451A">
        <w:tab/>
      </w:r>
      <w:r w:rsidRPr="727BFE15">
        <w:rPr>
          <w:rFonts w:eastAsia="Times New Roman"/>
          <w:color w:val="000000"/>
        </w:rPr>
        <w:t>Schedule E-TOB is a utility investment strategy to deliver TOB Program services for the purchase, installation, maintenance</w:t>
      </w:r>
      <w:r w:rsidR="34814246" w:rsidRPr="727BFE15">
        <w:rPr>
          <w:rFonts w:eastAsia="Times New Roman"/>
          <w:color w:val="000000"/>
        </w:rPr>
        <w:t>—</w:t>
      </w:r>
      <w:r w:rsidRPr="727BFE15">
        <w:rPr>
          <w:rFonts w:eastAsia="Times New Roman"/>
          <w:color w:val="000000"/>
        </w:rPr>
        <w:t>and</w:t>
      </w:r>
      <w:r w:rsidR="34814246" w:rsidRPr="727BFE15">
        <w:rPr>
          <w:rFonts w:eastAsia="Times New Roman"/>
          <w:color w:val="000000"/>
        </w:rPr>
        <w:t>,</w:t>
      </w:r>
      <w:r w:rsidRPr="727BFE15">
        <w:rPr>
          <w:rFonts w:eastAsia="Times New Roman"/>
          <w:color w:val="000000"/>
        </w:rPr>
        <w:t xml:space="preserve"> as necessary</w:t>
      </w:r>
      <w:r w:rsidR="34814246" w:rsidRPr="727BFE15">
        <w:rPr>
          <w:rFonts w:eastAsia="Times New Roman"/>
          <w:color w:val="000000"/>
        </w:rPr>
        <w:t>,</w:t>
      </w:r>
      <w:r w:rsidRPr="727BFE15">
        <w:rPr>
          <w:rFonts w:eastAsia="Times New Roman"/>
          <w:color w:val="000000"/>
        </w:rPr>
        <w:t xml:space="preserve"> repair</w:t>
      </w:r>
      <w:r w:rsidR="34814246" w:rsidRPr="727BFE15">
        <w:rPr>
          <w:rFonts w:eastAsia="Times New Roman"/>
          <w:color w:val="000000"/>
        </w:rPr>
        <w:t>—</w:t>
      </w:r>
      <w:r w:rsidRPr="727BFE15">
        <w:rPr>
          <w:rFonts w:eastAsia="Times New Roman"/>
          <w:color w:val="000000"/>
        </w:rPr>
        <w:t xml:space="preserve">of eligible </w:t>
      </w:r>
      <w:r w:rsidR="1C67DC6A" w:rsidRPr="727BFE15">
        <w:rPr>
          <w:rFonts w:eastAsia="Times New Roman"/>
          <w:color w:val="000000"/>
        </w:rPr>
        <w:t>c</w:t>
      </w:r>
      <w:r w:rsidRPr="727BFE15">
        <w:rPr>
          <w:rFonts w:eastAsia="Times New Roman"/>
          <w:color w:val="000000"/>
        </w:rPr>
        <w:t xml:space="preserve">lean </w:t>
      </w:r>
      <w:r w:rsidR="1C67DC6A" w:rsidRPr="727BFE15">
        <w:rPr>
          <w:rFonts w:eastAsia="Times New Roman"/>
          <w:color w:val="000000"/>
        </w:rPr>
        <w:t>e</w:t>
      </w:r>
      <w:r w:rsidRPr="727BFE15">
        <w:rPr>
          <w:rFonts w:eastAsia="Times New Roman"/>
          <w:color w:val="000000"/>
        </w:rPr>
        <w:t xml:space="preserve">nergy </w:t>
      </w:r>
      <w:r w:rsidR="1C67DC6A" w:rsidRPr="727BFE15">
        <w:rPr>
          <w:rFonts w:eastAsia="Times New Roman"/>
          <w:color w:val="000000"/>
        </w:rPr>
        <w:t>m</w:t>
      </w:r>
      <w:r w:rsidRPr="727BFE15">
        <w:rPr>
          <w:rFonts w:eastAsia="Times New Roman"/>
          <w:color w:val="000000"/>
        </w:rPr>
        <w:t>easures or equipment (CEMs) at the premises of qualified customers. Qualified customers are those customers who meet specified eligibility criteria and comply with TOB requirements in accordance with this Schedule.</w:t>
      </w:r>
    </w:p>
    <w:p w14:paraId="26D5ABBE" w14:textId="77777777" w:rsidR="0037451A" w:rsidRPr="004C3BA3" w:rsidRDefault="46B5C59E" w:rsidP="0037451A">
      <w:pPr>
        <w:rPr>
          <w:rFonts w:eastAsia="Times New Roman"/>
          <w:color w:val="000000"/>
        </w:rPr>
      </w:pPr>
      <w:r w:rsidRPr="727BFE15">
        <w:rPr>
          <w:rFonts w:eastAsia="Times New Roman"/>
          <w:color w:val="000000"/>
        </w:rPr>
        <w:t>3.</w:t>
      </w:r>
      <w:r w:rsidR="0037451A">
        <w:tab/>
      </w:r>
      <w:r w:rsidRPr="727BFE15">
        <w:rPr>
          <w:rFonts w:eastAsia="Times New Roman"/>
          <w:color w:val="000000"/>
        </w:rPr>
        <w:t>Electric vehicle load that is separately metered under Schedule [TOU-EV-1] is ineligible for service under this Schedule.</w:t>
      </w:r>
    </w:p>
    <w:p w14:paraId="6E2A6A11" w14:textId="77777777" w:rsidR="0037451A" w:rsidRPr="004C3BA3" w:rsidRDefault="0037451A" w:rsidP="0037451A">
      <w:pPr>
        <w:pStyle w:val="Heading4"/>
      </w:pPr>
      <w:r w:rsidRPr="004C3BA3">
        <w:t>TERRITORY</w:t>
      </w:r>
    </w:p>
    <w:p w14:paraId="6C340A68" w14:textId="033702F3" w:rsidR="0037451A" w:rsidRPr="004C3BA3" w:rsidRDefault="46B5C59E" w:rsidP="0037451A">
      <w:pPr>
        <w:rPr>
          <w:rFonts w:eastAsia="Times New Roman"/>
          <w:color w:val="000000"/>
        </w:rPr>
      </w:pPr>
      <w:r w:rsidRPr="727BFE15">
        <w:rPr>
          <w:rFonts w:eastAsia="Times New Roman"/>
          <w:color w:val="000000"/>
        </w:rPr>
        <w:t xml:space="preserve">The entire </w:t>
      </w:r>
      <w:r w:rsidR="496A0729" w:rsidRPr="727BFE15">
        <w:rPr>
          <w:rFonts w:eastAsia="Times New Roman"/>
          <w:color w:val="000000"/>
        </w:rPr>
        <w:t>[</w:t>
      </w:r>
      <w:r w:rsidR="41EF197C" w:rsidRPr="727BFE15">
        <w:rPr>
          <w:rFonts w:eastAsia="Times New Roman"/>
          <w:color w:val="000000"/>
        </w:rPr>
        <w:t>IOU</w:t>
      </w:r>
      <w:r w:rsidR="496A0729" w:rsidRPr="727BFE15">
        <w:rPr>
          <w:rFonts w:eastAsia="Times New Roman"/>
          <w:color w:val="000000"/>
        </w:rPr>
        <w:t>]</w:t>
      </w:r>
      <w:r w:rsidRPr="727BFE15">
        <w:rPr>
          <w:rFonts w:eastAsia="Times New Roman"/>
          <w:color w:val="000000"/>
        </w:rPr>
        <w:t xml:space="preserve"> electric service territory.</w:t>
      </w:r>
    </w:p>
    <w:p w14:paraId="238017EB" w14:textId="77777777" w:rsidR="0037451A" w:rsidRPr="004C3BA3" w:rsidRDefault="46B5C59E" w:rsidP="0037451A">
      <w:pPr>
        <w:pStyle w:val="Heading4"/>
      </w:pPr>
      <w:r>
        <w:t>DEFINITIONS</w:t>
      </w:r>
    </w:p>
    <w:p w14:paraId="042247A6" w14:textId="411CD204" w:rsidR="0037451A" w:rsidRPr="004C3BA3" w:rsidRDefault="46B5C59E" w:rsidP="0037451A">
      <w:pPr>
        <w:rPr>
          <w:rFonts w:eastAsia="Times New Roman"/>
          <w:color w:val="000000"/>
        </w:rPr>
      </w:pPr>
      <w:r w:rsidRPr="727BFE15">
        <w:rPr>
          <w:rFonts w:eastAsia="Times New Roman"/>
          <w:color w:val="000000"/>
        </w:rPr>
        <w:t xml:space="preserve">The definitions of capitalized terms used in this Rate Schedule are either defined in this Rate Schedule or in Electric Rule 1 Definitions, or in E-TOB Regulations, as defined below. Unless otherwise stated, all references to “Customer” in this Rate Schedule will refer to </w:t>
      </w:r>
      <w:r w:rsidR="2303BFF7" w:rsidRPr="727BFE15">
        <w:rPr>
          <w:rFonts w:eastAsia="Times New Roman"/>
          <w:color w:val="000000"/>
        </w:rPr>
        <w:t>[</w:t>
      </w:r>
      <w:r w:rsidR="41EF197C" w:rsidRPr="727BFE15">
        <w:rPr>
          <w:rFonts w:eastAsia="Times New Roman"/>
          <w:color w:val="000000"/>
        </w:rPr>
        <w:t>IOU</w:t>
      </w:r>
      <w:r w:rsidR="2303BFF7" w:rsidRPr="727BFE15">
        <w:rPr>
          <w:rFonts w:eastAsia="Times New Roman"/>
          <w:color w:val="000000"/>
        </w:rPr>
        <w:t>]</w:t>
      </w:r>
      <w:r w:rsidRPr="727BFE15">
        <w:rPr>
          <w:rFonts w:eastAsia="Times New Roman"/>
          <w:color w:val="000000"/>
        </w:rPr>
        <w:t xml:space="preserve"> Customers who have elected to participate in E-TOB.</w:t>
      </w:r>
    </w:p>
    <w:p w14:paraId="32236467" w14:textId="24CD1A54" w:rsidR="0037451A" w:rsidRPr="00F67954" w:rsidRDefault="46B5C59E" w:rsidP="0037451A">
      <w:pPr>
        <w:pStyle w:val="ListParagraph"/>
        <w:numPr>
          <w:ilvl w:val="0"/>
          <w:numId w:val="42"/>
        </w:numPr>
        <w:ind w:left="810"/>
      </w:pPr>
      <w:r w:rsidRPr="727BFE15">
        <w:rPr>
          <w:b/>
          <w:bCs/>
        </w:rPr>
        <w:t xml:space="preserve">Clean </w:t>
      </w:r>
      <w:r w:rsidR="54B1CDE9" w:rsidRPr="727BFE15">
        <w:rPr>
          <w:b/>
          <w:bCs/>
        </w:rPr>
        <w:t>E</w:t>
      </w:r>
      <w:r w:rsidRPr="727BFE15">
        <w:rPr>
          <w:b/>
          <w:bCs/>
        </w:rPr>
        <w:t xml:space="preserve">nergy </w:t>
      </w:r>
      <w:r w:rsidR="54B1CDE9" w:rsidRPr="727BFE15">
        <w:rPr>
          <w:b/>
          <w:bCs/>
        </w:rPr>
        <w:t>M</w:t>
      </w:r>
      <w:r w:rsidRPr="727BFE15">
        <w:rPr>
          <w:b/>
          <w:bCs/>
        </w:rPr>
        <w:t xml:space="preserve">easures (CEMs): </w:t>
      </w:r>
      <w:r>
        <w:t>Improvements allowable under the TOB Program, as approved by the CPUC. CEMs are specified in the TOB Program Regulations available on the Program website</w:t>
      </w:r>
      <w:r w:rsidR="54B1CDE9">
        <w:t>,</w:t>
      </w:r>
      <w:r>
        <w:t xml:space="preserve"> </w:t>
      </w:r>
      <w:r w:rsidR="54B1CDE9">
        <w:t>[</w:t>
      </w:r>
      <w:r>
        <w:t>URL</w:t>
      </w:r>
      <w:r w:rsidR="54B1CDE9">
        <w:t>]</w:t>
      </w:r>
      <w:r>
        <w:t xml:space="preserve">, are subject to CPUC approval, and </w:t>
      </w:r>
      <w:r w:rsidR="08E647B0">
        <w:t xml:space="preserve">might </w:t>
      </w:r>
      <w:r>
        <w:t>change from time to time.</w:t>
      </w:r>
    </w:p>
    <w:p w14:paraId="12CF86A2" w14:textId="0FFF3CE6" w:rsidR="0037451A" w:rsidRPr="00F67954" w:rsidRDefault="46B5C59E" w:rsidP="0037451A">
      <w:pPr>
        <w:pStyle w:val="ListParagraph"/>
        <w:numPr>
          <w:ilvl w:val="0"/>
          <w:numId w:val="42"/>
        </w:numPr>
        <w:ind w:left="810"/>
      </w:pPr>
      <w:r w:rsidRPr="727BFE15">
        <w:rPr>
          <w:b/>
          <w:bCs/>
        </w:rPr>
        <w:t xml:space="preserve">Owner Agreement: </w:t>
      </w:r>
      <w:r>
        <w:t xml:space="preserve">A written agreement between the Customer and </w:t>
      </w:r>
      <w:r w:rsidR="08E647B0">
        <w:t>[</w:t>
      </w:r>
      <w:r w:rsidR="41EF197C" w:rsidRPr="727BFE15">
        <w:rPr>
          <w:rFonts w:eastAsia="Times New Roman"/>
          <w:color w:val="000000"/>
        </w:rPr>
        <w:t>IOU</w:t>
      </w:r>
      <w:r w:rsidR="08E647B0" w:rsidRPr="727BFE15">
        <w:rPr>
          <w:rFonts w:eastAsia="Times New Roman"/>
          <w:color w:val="000000"/>
        </w:rPr>
        <w:t>]</w:t>
      </w:r>
      <w:r>
        <w:t xml:space="preserve"> </w:t>
      </w:r>
      <w:r w:rsidR="40D03C0A">
        <w:t>authorizing the utility or its designated agent to install mutually agreed-upon CEMs on the Owner’s premises</w:t>
      </w:r>
      <w:r w:rsidR="7367062D">
        <w:t xml:space="preserve">, in addition to other terms as they </w:t>
      </w:r>
      <w:r w:rsidR="08E647B0">
        <w:t xml:space="preserve">might </w:t>
      </w:r>
      <w:r w:rsidR="7367062D">
        <w:t>be specified in the TOB Program Regulations</w:t>
      </w:r>
      <w:r>
        <w:t>.</w:t>
      </w:r>
    </w:p>
    <w:p w14:paraId="3E6CA5B5" w14:textId="7655A7BB" w:rsidR="0037451A" w:rsidRPr="00F67954" w:rsidRDefault="46B5C59E" w:rsidP="0037451A">
      <w:pPr>
        <w:pStyle w:val="ListParagraph"/>
        <w:numPr>
          <w:ilvl w:val="0"/>
          <w:numId w:val="42"/>
        </w:numPr>
        <w:ind w:left="810"/>
      </w:pPr>
      <w:r w:rsidRPr="727BFE15">
        <w:rPr>
          <w:b/>
          <w:bCs/>
        </w:rPr>
        <w:t>Participation Agreement:</w:t>
      </w:r>
      <w:r>
        <w:t xml:space="preserve"> A written agreement between the Customer and </w:t>
      </w:r>
      <w:r w:rsidR="08E647B0">
        <w:t>[</w:t>
      </w:r>
      <w:r w:rsidR="41EF197C" w:rsidRPr="727BFE15">
        <w:rPr>
          <w:rFonts w:eastAsia="Times New Roman"/>
          <w:color w:val="000000"/>
        </w:rPr>
        <w:t>IOU]</w:t>
      </w:r>
      <w:r>
        <w:t xml:space="preserve"> to capitalize and install CEMs at a Customer Premise. The named person(s) on the Participation Agreement must also be the named person(s) on the </w:t>
      </w:r>
      <w:r w:rsidR="08E647B0">
        <w:t>[</w:t>
      </w:r>
      <w:r w:rsidR="41EF197C" w:rsidRPr="727BFE15">
        <w:rPr>
          <w:rFonts w:eastAsia="Times New Roman"/>
          <w:color w:val="000000"/>
        </w:rPr>
        <w:t>IOU</w:t>
      </w:r>
      <w:r w:rsidR="08E647B0" w:rsidRPr="727BFE15">
        <w:rPr>
          <w:rFonts w:eastAsia="Times New Roman"/>
          <w:color w:val="000000"/>
        </w:rPr>
        <w:t>]</w:t>
      </w:r>
      <w:r>
        <w:t xml:space="preserve"> </w:t>
      </w:r>
      <w:r w:rsidR="08E647B0">
        <w:t>b</w:t>
      </w:r>
      <w:r>
        <w:t xml:space="preserve">ill on which the Program Service Charge will be repaid. </w:t>
      </w:r>
    </w:p>
    <w:p w14:paraId="691DD4B6" w14:textId="77777777" w:rsidR="0037451A" w:rsidRPr="00F67954" w:rsidRDefault="0037451A" w:rsidP="0037451A">
      <w:pPr>
        <w:pStyle w:val="ListParagraph"/>
        <w:numPr>
          <w:ilvl w:val="0"/>
          <w:numId w:val="42"/>
        </w:numPr>
        <w:ind w:left="810"/>
      </w:pPr>
      <w:r w:rsidRPr="00F67954">
        <w:rPr>
          <w:b/>
          <w:bCs/>
        </w:rPr>
        <w:t xml:space="preserve">Program Service Charge: </w:t>
      </w:r>
      <w:r w:rsidRPr="00F67954">
        <w:t xml:space="preserve">Amounts due during a billing period from a Customer on this E-TOB Schedule. </w:t>
      </w:r>
    </w:p>
    <w:p w14:paraId="755CF945" w14:textId="6C38D03B" w:rsidR="00D515AF" w:rsidRPr="0006025E" w:rsidRDefault="31CB0CA9" w:rsidP="0037451A">
      <w:pPr>
        <w:pStyle w:val="ListParagraph"/>
        <w:numPr>
          <w:ilvl w:val="0"/>
          <w:numId w:val="42"/>
        </w:numPr>
        <w:ind w:left="810"/>
      </w:pPr>
      <w:r w:rsidRPr="727BFE15">
        <w:rPr>
          <w:b/>
          <w:bCs/>
        </w:rPr>
        <w:t>Program Sponsor:</w:t>
      </w:r>
      <w:r>
        <w:t xml:space="preserve"> </w:t>
      </w:r>
      <w:r w:rsidR="63B0F3C0">
        <w:t xml:space="preserve">The </w:t>
      </w:r>
      <w:r w:rsidR="3E92E352">
        <w:t>U</w:t>
      </w:r>
      <w:r w:rsidR="63B0F3C0">
        <w:t>tility may delegate</w:t>
      </w:r>
      <w:r w:rsidR="4584E251">
        <w:t xml:space="preserve"> some or all responsibilities for delivering customer services to third</w:t>
      </w:r>
      <w:r w:rsidR="6DDD1365">
        <w:t xml:space="preserve"> </w:t>
      </w:r>
      <w:r w:rsidR="4584E251">
        <w:t>party, subject to the terms of this tariff and</w:t>
      </w:r>
      <w:r w:rsidR="6FBC98CF">
        <w:t xml:space="preserve"> any supplementary terms the </w:t>
      </w:r>
      <w:r w:rsidR="3E92E352">
        <w:t>U</w:t>
      </w:r>
      <w:r w:rsidR="6FBC98CF">
        <w:t xml:space="preserve">tility </w:t>
      </w:r>
      <w:r w:rsidR="08674ABA">
        <w:t xml:space="preserve">might </w:t>
      </w:r>
      <w:r w:rsidR="6FBC98CF">
        <w:t>require, as specified in an Advice Letter to the Commission.</w:t>
      </w:r>
    </w:p>
    <w:p w14:paraId="387640A8" w14:textId="16945D3F" w:rsidR="0037451A" w:rsidRPr="00F67954" w:rsidRDefault="46B5C59E" w:rsidP="0037451A">
      <w:pPr>
        <w:pStyle w:val="ListParagraph"/>
        <w:numPr>
          <w:ilvl w:val="0"/>
          <w:numId w:val="42"/>
        </w:numPr>
        <w:ind w:left="810"/>
      </w:pPr>
      <w:r w:rsidRPr="727BFE15">
        <w:rPr>
          <w:b/>
          <w:bCs/>
        </w:rPr>
        <w:t>Tariffed On-Bill (TOB):</w:t>
      </w:r>
      <w:r>
        <w:t xml:space="preserve"> A process whereby the </w:t>
      </w:r>
      <w:r w:rsidR="08674ABA">
        <w:t>u</w:t>
      </w:r>
      <w:r>
        <w:t xml:space="preserve">tility, or Program Sponsor if different, with the Customer’s permission and the permission of the property owner, if different from the </w:t>
      </w:r>
      <w:r w:rsidR="7367062D">
        <w:t>C</w:t>
      </w:r>
      <w:r>
        <w:t xml:space="preserve">ustomer, may make a site-specific investment in qualifying Clean Energy Measures at the Customer Premise and recover the investment via Program Service Charges included in a Customer’s Bill, to be paid to </w:t>
      </w:r>
      <w:r w:rsidR="08674ABA">
        <w:t>[</w:t>
      </w:r>
      <w:r w:rsidR="3368715E">
        <w:t>IOU</w:t>
      </w:r>
      <w:r w:rsidR="5A44792E">
        <w:t>]</w:t>
      </w:r>
      <w:r>
        <w:t xml:space="preserve"> with the </w:t>
      </w:r>
      <w:r w:rsidR="5A44792E">
        <w:t>[</w:t>
      </w:r>
      <w:r w:rsidR="41EF197C" w:rsidRPr="727BFE15">
        <w:rPr>
          <w:rFonts w:eastAsia="Times New Roman"/>
          <w:color w:val="000000"/>
        </w:rPr>
        <w:t>IOU</w:t>
      </w:r>
      <w:r w:rsidR="5A44792E" w:rsidRPr="727BFE15">
        <w:rPr>
          <w:rFonts w:eastAsia="Times New Roman"/>
          <w:color w:val="000000"/>
        </w:rPr>
        <w:t>]</w:t>
      </w:r>
      <w:r>
        <w:t xml:space="preserve"> Charges. </w:t>
      </w:r>
    </w:p>
    <w:p w14:paraId="2B9B2E25" w14:textId="77777777" w:rsidR="0037451A" w:rsidRPr="00F67954" w:rsidRDefault="0037451A" w:rsidP="0037451A">
      <w:pPr>
        <w:pStyle w:val="ListParagraph"/>
        <w:numPr>
          <w:ilvl w:val="0"/>
          <w:numId w:val="42"/>
        </w:numPr>
        <w:ind w:left="810"/>
      </w:pPr>
      <w:r w:rsidRPr="00F67954">
        <w:rPr>
          <w:b/>
          <w:bCs/>
        </w:rPr>
        <w:t>TOB Regulations:</w:t>
      </w:r>
      <w:r w:rsidRPr="00F67954">
        <w:t xml:space="preserve"> Requirements for participation in TOB will be established in the TOB Program Implementation Plan approved by the CPUC.</w:t>
      </w:r>
    </w:p>
    <w:p w14:paraId="7B46155C" w14:textId="77777777" w:rsidR="0037451A" w:rsidRPr="004C3BA3" w:rsidRDefault="0037451A" w:rsidP="0037451A">
      <w:pPr>
        <w:pStyle w:val="Heading4"/>
      </w:pPr>
      <w:r w:rsidRPr="004C3BA3">
        <w:t>RATES</w:t>
      </w:r>
    </w:p>
    <w:p w14:paraId="4AAE550B" w14:textId="30B846BB" w:rsidR="0037451A" w:rsidRPr="004C3BA3" w:rsidRDefault="46B5C59E" w:rsidP="0037451A">
      <w:pPr>
        <w:rPr>
          <w:rFonts w:eastAsia="Times New Roman"/>
          <w:color w:val="000000"/>
        </w:rPr>
      </w:pPr>
      <w:r w:rsidRPr="727BFE15">
        <w:rPr>
          <w:rFonts w:eastAsia="Times New Roman"/>
          <w:color w:val="000000"/>
        </w:rPr>
        <w:t xml:space="preserve">All charges and provisions of the Customer’s otherwise applicable tariffs shall </w:t>
      </w:r>
      <w:r w:rsidR="4543D4FC" w:rsidRPr="727BFE15">
        <w:rPr>
          <w:rFonts w:eastAsia="Times New Roman"/>
          <w:color w:val="000000"/>
        </w:rPr>
        <w:t>pertain</w:t>
      </w:r>
      <w:r w:rsidRPr="727BFE15">
        <w:rPr>
          <w:rFonts w:eastAsia="Times New Roman"/>
          <w:color w:val="000000"/>
        </w:rPr>
        <w:t>. In addition, a fixed monthly Program Service Charge amount due will appear as a line item on the Customer’s bill to facilitate the recovery of the Utility</w:t>
      </w:r>
      <w:r w:rsidR="70D14C61" w:rsidRPr="727BFE15">
        <w:rPr>
          <w:rFonts w:eastAsia="Times New Roman"/>
          <w:color w:val="000000"/>
        </w:rPr>
        <w:t xml:space="preserve"> </w:t>
      </w:r>
      <w:r w:rsidRPr="727BFE15">
        <w:rPr>
          <w:rFonts w:eastAsia="Times New Roman"/>
          <w:color w:val="000000"/>
        </w:rPr>
        <w:t xml:space="preserve">investment in the installed </w:t>
      </w:r>
      <w:r w:rsidR="70D14C61" w:rsidRPr="727BFE15">
        <w:rPr>
          <w:rFonts w:eastAsia="Times New Roman"/>
          <w:color w:val="000000"/>
        </w:rPr>
        <w:t>CEMs</w:t>
      </w:r>
      <w:r w:rsidRPr="727BFE15">
        <w:rPr>
          <w:rFonts w:eastAsia="Times New Roman"/>
          <w:color w:val="000000"/>
        </w:rPr>
        <w:t xml:space="preserve">. </w:t>
      </w:r>
    </w:p>
    <w:p w14:paraId="1D01731F" w14:textId="3FFF633D" w:rsidR="0037451A" w:rsidRPr="004C3BA3" w:rsidRDefault="0037451A" w:rsidP="0037451A">
      <w:pPr>
        <w:rPr>
          <w:rFonts w:eastAsia="Times New Roman"/>
          <w:color w:val="000000"/>
        </w:rPr>
      </w:pPr>
      <w:r w:rsidRPr="004C3BA3">
        <w:rPr>
          <w:rFonts w:eastAsia="Times New Roman"/>
          <w:color w:val="000000"/>
        </w:rPr>
        <w:t xml:space="preserve">Customers receiving service under this Schedule will be charged the applicable rates under the E-ELEC tariff (PG&amp;E) or TOU-D Option PRIME or TOU-D Option PRIME-CPP Option A (SCE) unless a financial analysis determines that an alternate tariff would be more financially beneficial to the </w:t>
      </w:r>
      <w:r>
        <w:rPr>
          <w:rFonts w:eastAsia="Times New Roman"/>
          <w:color w:val="000000"/>
        </w:rPr>
        <w:t>Customer</w:t>
      </w:r>
      <w:r w:rsidRPr="004C3BA3">
        <w:rPr>
          <w:rFonts w:eastAsia="Times New Roman"/>
          <w:color w:val="000000"/>
        </w:rPr>
        <w:t>.</w:t>
      </w:r>
    </w:p>
    <w:p w14:paraId="5BAA23DB" w14:textId="77777777" w:rsidR="0037451A" w:rsidRPr="004C3BA3" w:rsidRDefault="0037451A" w:rsidP="0037451A">
      <w:pPr>
        <w:pStyle w:val="Heading4"/>
      </w:pPr>
      <w:r w:rsidRPr="004C3BA3">
        <w:t>SPECIAL CONDITIONS</w:t>
      </w:r>
    </w:p>
    <w:p w14:paraId="292E8039" w14:textId="6ABCA9FA" w:rsidR="0037451A" w:rsidRPr="004C3BA3" w:rsidRDefault="260DAD94" w:rsidP="0037451A">
      <w:pPr>
        <w:rPr>
          <w:rFonts w:eastAsia="Times New Roman"/>
          <w:color w:val="000000"/>
        </w:rPr>
      </w:pPr>
      <w:r w:rsidRPr="727BFE15">
        <w:rPr>
          <w:rFonts w:eastAsia="Times New Roman"/>
          <w:color w:val="000000"/>
        </w:rPr>
        <w:t xml:space="preserve">Investments by the </w:t>
      </w:r>
      <w:r w:rsidR="46B5C59E" w:rsidRPr="727BFE15">
        <w:rPr>
          <w:rFonts w:eastAsia="Times New Roman"/>
          <w:color w:val="000000"/>
        </w:rPr>
        <w:t xml:space="preserve">Utility, or Program Sponsor if different, under this TOB Schedule will be </w:t>
      </w:r>
      <w:r w:rsidRPr="727BFE15">
        <w:rPr>
          <w:rFonts w:eastAsia="Times New Roman"/>
          <w:color w:val="000000"/>
        </w:rPr>
        <w:t xml:space="preserve">accessible only if funds are available </w:t>
      </w:r>
      <w:r w:rsidR="46B5C59E" w:rsidRPr="727BFE15">
        <w:rPr>
          <w:rFonts w:eastAsia="Times New Roman"/>
          <w:color w:val="000000"/>
        </w:rPr>
        <w:t>for investment as authorized by the California Public Utilities Commission</w:t>
      </w:r>
      <w:r w:rsidR="28D251F1" w:rsidRPr="727BFE15">
        <w:rPr>
          <w:rFonts w:eastAsia="Times New Roman"/>
          <w:color w:val="000000"/>
        </w:rPr>
        <w:t>,</w:t>
      </w:r>
      <w:r w:rsidR="46B5C59E" w:rsidRPr="727BFE15">
        <w:rPr>
          <w:rFonts w:eastAsia="Times New Roman"/>
          <w:color w:val="000000"/>
        </w:rPr>
        <w:t xml:space="preserve"> as appropriate for the regulated utilities or appropriate boards or councils for Community Choice Aggregators. </w:t>
      </w:r>
    </w:p>
    <w:p w14:paraId="77F9C140" w14:textId="77777777" w:rsidR="0037451A" w:rsidRDefault="0037451A" w:rsidP="0037451A">
      <w:pPr>
        <w:pStyle w:val="ListParagraph"/>
        <w:numPr>
          <w:ilvl w:val="0"/>
          <w:numId w:val="40"/>
        </w:numPr>
      </w:pPr>
      <w:r w:rsidRPr="002E6B2D">
        <w:rPr>
          <w:b/>
          <w:bCs/>
        </w:rPr>
        <w:t>Participant Eligibility.</w:t>
      </w:r>
      <w:r w:rsidRPr="005C3526">
        <w:t xml:space="preserve"> </w:t>
      </w:r>
      <w:r>
        <w:t>Eligibility is subject to the following conditions:</w:t>
      </w:r>
    </w:p>
    <w:p w14:paraId="5242EDFF" w14:textId="141E5083" w:rsidR="00DB298D" w:rsidRDefault="2EA60E62" w:rsidP="00DB298D">
      <w:pPr>
        <w:pStyle w:val="ListParagraph"/>
        <w:numPr>
          <w:ilvl w:val="1"/>
          <w:numId w:val="40"/>
        </w:numPr>
      </w:pPr>
      <w:r>
        <w:t>Eligible customers are s</w:t>
      </w:r>
      <w:r w:rsidR="2131902F">
        <w:t>ingle</w:t>
      </w:r>
      <w:r w:rsidR="28D251F1">
        <w:t>-</w:t>
      </w:r>
      <w:r w:rsidR="2131902F">
        <w:t xml:space="preserve">family and multifamily residential customers receiving electric service at a Premise with a meter served by the participating partner </w:t>
      </w:r>
      <w:r>
        <w:t>u</w:t>
      </w:r>
      <w:r w:rsidR="2131902F">
        <w:t>tility</w:t>
      </w:r>
      <w:r>
        <w:t>.</w:t>
      </w:r>
    </w:p>
    <w:p w14:paraId="63AB885E" w14:textId="438EE005" w:rsidR="0037451A" w:rsidRDefault="0037451A" w:rsidP="0037451A">
      <w:pPr>
        <w:pStyle w:val="ListParagraph"/>
        <w:numPr>
          <w:ilvl w:val="1"/>
          <w:numId w:val="40"/>
        </w:numPr>
      </w:pPr>
      <w:r>
        <w:t>Customers in rented or leased single housing units may participate with the written consent of the property owner.</w:t>
      </w:r>
    </w:p>
    <w:p w14:paraId="52266416" w14:textId="76EE68D8" w:rsidR="0037451A" w:rsidRDefault="46B5C59E" w:rsidP="0037451A">
      <w:pPr>
        <w:pStyle w:val="ListParagraph"/>
        <w:numPr>
          <w:ilvl w:val="1"/>
          <w:numId w:val="40"/>
        </w:numPr>
      </w:pPr>
      <w:r>
        <w:t xml:space="preserve">Customer must be in good payment standing from when the </w:t>
      </w:r>
      <w:r w:rsidR="2EA60E62">
        <w:t>C</w:t>
      </w:r>
      <w:r>
        <w:t xml:space="preserve">ustomer’s program application is approved through the funding of the investment. A Customer’s payment standing will be determined </w:t>
      </w:r>
      <w:r w:rsidR="5B0A2B33">
        <w:t xml:space="preserve">via </w:t>
      </w:r>
      <w:r>
        <w:t xml:space="preserve">a Payment History Screening, which may be based on the existence of any 24-hour disconnection notices in the last 12 months. If the Customer does not pass the payment screening, an appeal may be submitted to the program through a </w:t>
      </w:r>
      <w:r w:rsidR="5B0A2B33">
        <w:t>U</w:t>
      </w:r>
      <w:r>
        <w:t xml:space="preserve">tility </w:t>
      </w:r>
      <w:r w:rsidR="5B0A2B33">
        <w:t>a</w:t>
      </w:r>
      <w:r>
        <w:t xml:space="preserve">ccount </w:t>
      </w:r>
      <w:r w:rsidR="5B0A2B33">
        <w:t>r</w:t>
      </w:r>
      <w:r>
        <w:t>epresentative.</w:t>
      </w:r>
    </w:p>
    <w:p w14:paraId="25DA91E3" w14:textId="7CE4BE7F" w:rsidR="0037451A" w:rsidRPr="005C3526" w:rsidRDefault="46B5C59E" w:rsidP="0037451A">
      <w:pPr>
        <w:ind w:left="720"/>
      </w:pPr>
      <w:r>
        <w:t>Customers must voluntarily opt to receive program services. Customers must receive a Clean Energy Site Plan (as defined below)</w:t>
      </w:r>
      <w:r w:rsidR="79F47DC9">
        <w:t>,</w:t>
      </w:r>
      <w:r>
        <w:t xml:space="preserve"> demonstrating that program participation is likely to provide bill savings to the Customer at the Customer’s Premise</w:t>
      </w:r>
      <w:r w:rsidR="79F47DC9">
        <w:t>,</w:t>
      </w:r>
      <w:r>
        <w:t xml:space="preserve"> based on documented site conditions and utility bill analysis. </w:t>
      </w:r>
    </w:p>
    <w:p w14:paraId="4D1B6889" w14:textId="68EA40A0" w:rsidR="0037451A" w:rsidRPr="005C3526" w:rsidRDefault="0037451A" w:rsidP="0037451A">
      <w:pPr>
        <w:ind w:left="720"/>
      </w:pPr>
      <w:r w:rsidRPr="005C3526">
        <w:t>Program services and</w:t>
      </w:r>
      <w:r w:rsidR="00E824A6">
        <w:t xml:space="preserve"> CEM</w:t>
      </w:r>
      <w:r w:rsidRPr="005C3526">
        <w:t xml:space="preserve"> installations may be completed once </w:t>
      </w:r>
    </w:p>
    <w:p w14:paraId="2F863D04" w14:textId="0891CE41" w:rsidR="0037451A" w:rsidRPr="005C3526" w:rsidRDefault="58700403" w:rsidP="0037451A">
      <w:pPr>
        <w:pStyle w:val="ListParagraph"/>
        <w:numPr>
          <w:ilvl w:val="1"/>
          <w:numId w:val="40"/>
        </w:numPr>
      </w:pPr>
      <w:r>
        <w:t xml:space="preserve">the Customer at the site has signed a TOB Participant Agreement and agrees to program terms; and </w:t>
      </w:r>
    </w:p>
    <w:p w14:paraId="4BDF95D9" w14:textId="014C2E5C" w:rsidR="0037451A" w:rsidRPr="005C3526" w:rsidRDefault="46B5C59E" w:rsidP="0037451A">
      <w:pPr>
        <w:pStyle w:val="ListParagraph"/>
        <w:numPr>
          <w:ilvl w:val="1"/>
          <w:numId w:val="40"/>
        </w:numPr>
      </w:pPr>
      <w:r>
        <w:t>the Utility or Program Sponsor, or its designated agent operating the program</w:t>
      </w:r>
      <w:r w:rsidR="054A7DA4">
        <w:t>,</w:t>
      </w:r>
      <w:r>
        <w:t xml:space="preserve"> has verified that Customer-requested program CEMs can be safely installed at the site and perform </w:t>
      </w:r>
      <w:r w:rsidR="054A7DA4">
        <w:t xml:space="preserve">sufficiently </w:t>
      </w:r>
      <w:r>
        <w:t>to deliver bill savings consistent with program requirements and Customer</w:t>
      </w:r>
      <w:r w:rsidR="054A7DA4">
        <w:t>-</w:t>
      </w:r>
      <w:r>
        <w:t xml:space="preserve">reported and </w:t>
      </w:r>
      <w:r w:rsidR="054A7DA4">
        <w:t>-</w:t>
      </w:r>
      <w:r>
        <w:t>observed site conditions.</w:t>
      </w:r>
    </w:p>
    <w:p w14:paraId="10FF6880" w14:textId="20AD3D29" w:rsidR="00FF0801" w:rsidRDefault="0F4EFF7E" w:rsidP="727BFE15">
      <w:pPr>
        <w:pStyle w:val="Heading5"/>
      </w:pPr>
      <w:r>
        <w:t xml:space="preserve">For </w:t>
      </w:r>
      <w:r w:rsidR="46B5C59E">
        <w:t xml:space="preserve">SCE </w:t>
      </w:r>
      <w:r>
        <w:t>Customers O</w:t>
      </w:r>
      <w:r w:rsidR="46B5C59E">
        <w:t>nly</w:t>
      </w:r>
    </w:p>
    <w:p w14:paraId="5B84860A" w14:textId="58E43CBE" w:rsidR="0037451A" w:rsidRPr="005C3526" w:rsidRDefault="46B5C59E" w:rsidP="0037451A">
      <w:pPr>
        <w:ind w:left="720"/>
      </w:pPr>
      <w:r>
        <w:t xml:space="preserve">Customer must attest to having one or more of the following technologies to be eligible for service on Option PRIME or Option PRIME-CPP:  </w:t>
      </w:r>
    </w:p>
    <w:p w14:paraId="0617102B" w14:textId="7ED8F908" w:rsidR="0037451A" w:rsidRPr="005C3526" w:rsidRDefault="46B5C59E" w:rsidP="0037451A">
      <w:pPr>
        <w:pStyle w:val="ListParagraph"/>
        <w:numPr>
          <w:ilvl w:val="1"/>
          <w:numId w:val="41"/>
        </w:numPr>
      </w:pPr>
      <w:r>
        <w:t xml:space="preserve">Electric </w:t>
      </w:r>
      <w:r w:rsidR="50385D7B">
        <w:t>v</w:t>
      </w:r>
      <w:r>
        <w:t xml:space="preserve">ehicle;  </w:t>
      </w:r>
    </w:p>
    <w:p w14:paraId="3DD3EFA1" w14:textId="3F48E6A9" w:rsidR="0037451A" w:rsidRPr="005C3526" w:rsidRDefault="46B5C59E" w:rsidP="0037451A">
      <w:pPr>
        <w:pStyle w:val="ListParagraph"/>
        <w:numPr>
          <w:ilvl w:val="1"/>
          <w:numId w:val="40"/>
        </w:numPr>
      </w:pPr>
      <w:r>
        <w:t>On-site behind-the-meter (BTM) energy storage system; and</w:t>
      </w:r>
      <w:r w:rsidR="50385D7B">
        <w:t xml:space="preserve"> </w:t>
      </w:r>
      <w:r>
        <w:t>/</w:t>
      </w:r>
      <w:r w:rsidR="50385D7B">
        <w:t xml:space="preserve"> </w:t>
      </w:r>
      <w:r>
        <w:t xml:space="preserve">or </w:t>
      </w:r>
    </w:p>
    <w:p w14:paraId="069CBB33" w14:textId="3FF50447" w:rsidR="0037451A" w:rsidRDefault="46B5C59E" w:rsidP="0037451A">
      <w:pPr>
        <w:pStyle w:val="ListParagraph"/>
        <w:numPr>
          <w:ilvl w:val="1"/>
          <w:numId w:val="40"/>
        </w:numPr>
      </w:pPr>
      <w:r>
        <w:t>Electric heat pump system for water and</w:t>
      </w:r>
      <w:r w:rsidR="50385D7B">
        <w:t xml:space="preserve"> </w:t>
      </w:r>
      <w:r>
        <w:t>/</w:t>
      </w:r>
      <w:r w:rsidR="50385D7B">
        <w:t xml:space="preserve"> </w:t>
      </w:r>
      <w:r>
        <w:t xml:space="preserve">or space heating </w:t>
      </w:r>
    </w:p>
    <w:p w14:paraId="35B1FC46" w14:textId="77777777" w:rsidR="00100BB0" w:rsidRPr="005C3526" w:rsidRDefault="00100BB0" w:rsidP="727BFE15">
      <w:pPr>
        <w:pStyle w:val="ListParagraph"/>
        <w:numPr>
          <w:ilvl w:val="0"/>
          <w:numId w:val="0"/>
        </w:numPr>
        <w:ind w:left="1440"/>
      </w:pPr>
    </w:p>
    <w:p w14:paraId="45C6407C" w14:textId="1CD4E776" w:rsidR="0037451A" w:rsidRPr="00D445AD" w:rsidRDefault="46B5C59E" w:rsidP="0037451A">
      <w:pPr>
        <w:pStyle w:val="ListParagraph"/>
        <w:numPr>
          <w:ilvl w:val="0"/>
          <w:numId w:val="40"/>
        </w:numPr>
      </w:pPr>
      <w:r w:rsidRPr="727BFE15">
        <w:rPr>
          <w:b/>
          <w:bCs/>
        </w:rPr>
        <w:t xml:space="preserve">Ownership: </w:t>
      </w:r>
      <w:r>
        <w:t xml:space="preserve">If the Customer is not the building owner, the building owner must sign an Owner Agreement, agreeing </w:t>
      </w:r>
      <w:r w:rsidR="69EA591D">
        <w:t xml:space="preserve">(1) </w:t>
      </w:r>
      <w:r>
        <w:t>to contribute any applicable co</w:t>
      </w:r>
      <w:r w:rsidR="58B142DA">
        <w:t>-</w:t>
      </w:r>
      <w:r>
        <w:t xml:space="preserve">payment for replacement of space heating and domestic hot water systems; </w:t>
      </w:r>
      <w:r w:rsidR="69EA591D">
        <w:t xml:space="preserve">(2) </w:t>
      </w:r>
      <w:r>
        <w:t xml:space="preserve">not to remove or damage the measures; </w:t>
      </w:r>
      <w:r w:rsidR="69EA591D">
        <w:t xml:space="preserve">(3) </w:t>
      </w:r>
      <w:r>
        <w:t xml:space="preserve">to maintain them; and </w:t>
      </w:r>
      <w:r w:rsidR="69EA591D">
        <w:t xml:space="preserve">(4) </w:t>
      </w:r>
      <w:r>
        <w:t>to provide notice of the benefits and obligations associated with the measures at the location to the next owner or Customer before the sale or rental of the property.</w:t>
      </w:r>
    </w:p>
    <w:p w14:paraId="61A4AE49" w14:textId="6F0B5BD6" w:rsidR="0037451A" w:rsidRPr="005C3526" w:rsidRDefault="46B5C59E" w:rsidP="0037451A">
      <w:pPr>
        <w:pStyle w:val="ListParagraph"/>
        <w:numPr>
          <w:ilvl w:val="0"/>
          <w:numId w:val="40"/>
        </w:numPr>
      </w:pPr>
      <w:r w:rsidRPr="727BFE15">
        <w:rPr>
          <w:b/>
          <w:bCs/>
        </w:rPr>
        <w:t xml:space="preserve">Clean Energy Site Plan: </w:t>
      </w:r>
      <w:r>
        <w:t>The Utility or Program Sponsor</w:t>
      </w:r>
      <w:r w:rsidR="07888506">
        <w:t>,</w:t>
      </w:r>
      <w:r>
        <w:t xml:space="preserve"> or its designated agent operating the program</w:t>
      </w:r>
      <w:r w:rsidR="69EA591D">
        <w:t>,</w:t>
      </w:r>
      <w:r>
        <w:t xml:space="preserve"> shall perform an assessment of eligibility and identify recommended eligible </w:t>
      </w:r>
      <w:r w:rsidR="06EF5795">
        <w:t>CEMs</w:t>
      </w:r>
      <w:r>
        <w:t xml:space="preserve"> to install at the site.</w:t>
      </w:r>
    </w:p>
    <w:p w14:paraId="0D6924FB" w14:textId="5AC7F9F5" w:rsidR="0037451A" w:rsidRDefault="46B5C59E" w:rsidP="0037451A">
      <w:pPr>
        <w:pStyle w:val="ListParagraph"/>
        <w:numPr>
          <w:ilvl w:val="1"/>
          <w:numId w:val="40"/>
        </w:numPr>
      </w:pPr>
      <w:r>
        <w:t>Maximum value of investment: The sum of the value of invested funds for installed measures for each Customer premises shall not exceed $50,000</w:t>
      </w:r>
      <w:r w:rsidR="06A67179">
        <w:t xml:space="preserve"> (fifty thousand dollars</w:t>
      </w:r>
      <w:r>
        <w:t xml:space="preserve">) except in </w:t>
      </w:r>
      <w:r w:rsidR="06A67179">
        <w:t xml:space="preserve">the </w:t>
      </w:r>
      <w:r w:rsidR="6FBC98CF">
        <w:t xml:space="preserve">Utility or </w:t>
      </w:r>
      <w:r>
        <w:t xml:space="preserve">Program Sponsor’s sole opinion, unique opportunities to serve the Customer exist. </w:t>
      </w:r>
    </w:p>
    <w:p w14:paraId="15BC7C6A" w14:textId="76BC0B4B" w:rsidR="0037451A" w:rsidRPr="005C3526" w:rsidRDefault="46B5C59E" w:rsidP="0037451A">
      <w:pPr>
        <w:pStyle w:val="ListParagraph"/>
        <w:numPr>
          <w:ilvl w:val="1"/>
          <w:numId w:val="40"/>
        </w:numPr>
      </w:pPr>
      <w:r>
        <w:t xml:space="preserve">Net </w:t>
      </w:r>
      <w:r w:rsidR="3CA47202">
        <w:t>s</w:t>
      </w:r>
      <w:r>
        <w:t>avings: Recommended measures will be limited to those where the annual Program Service Charge (Service Charges)</w:t>
      </w:r>
      <w:r w:rsidR="3CA47202">
        <w:t>,</w:t>
      </w:r>
      <w:r>
        <w:t xml:space="preserve"> as described in </w:t>
      </w:r>
      <w:r w:rsidR="3CA47202">
        <w:t>S</w:t>
      </w:r>
      <w:r>
        <w:t>ection 6, are no greater than 80</w:t>
      </w:r>
      <w:r w:rsidR="76CF20C2">
        <w:t xml:space="preserve"> percent</w:t>
      </w:r>
      <w:r>
        <w:t xml:space="preserve"> of the estimated combined annual benefit from changes to Customers’ energy charges</w:t>
      </w:r>
      <w:r w:rsidR="3CA47202">
        <w:t>,</w:t>
      </w:r>
      <w:r>
        <w:t xml:space="preserve"> based on current retail rates for electricity and natural gas</w:t>
      </w:r>
      <w:r w:rsidR="76CC1BD5">
        <w:t xml:space="preserve">, after accounting for any applicable incentives, tax credits, or </w:t>
      </w:r>
      <w:r w:rsidR="3CA47202">
        <w:t>C</w:t>
      </w:r>
      <w:r w:rsidR="76CC1BD5">
        <w:t>ustomer co</w:t>
      </w:r>
      <w:r w:rsidR="58B142DA">
        <w:t>-</w:t>
      </w:r>
      <w:r w:rsidR="76CC1BD5">
        <w:t>payments</w:t>
      </w:r>
      <w:r>
        <w:t xml:space="preserve">. </w:t>
      </w:r>
    </w:p>
    <w:p w14:paraId="7AFDB011" w14:textId="53E09735" w:rsidR="0037451A" w:rsidRPr="005C3526" w:rsidRDefault="46B5C59E" w:rsidP="0037451A">
      <w:pPr>
        <w:pStyle w:val="ListParagraph"/>
        <w:numPr>
          <w:ilvl w:val="1"/>
          <w:numId w:val="40"/>
        </w:numPr>
      </w:pPr>
      <w:r>
        <w:t>Co</w:t>
      </w:r>
      <w:r w:rsidR="58B142DA">
        <w:t>-</w:t>
      </w:r>
      <w:r>
        <w:t xml:space="preserve">pay </w:t>
      </w:r>
      <w:r w:rsidR="67F5252D">
        <w:t>o</w:t>
      </w:r>
      <w:r>
        <w:t xml:space="preserve">ption: To qualify a </w:t>
      </w:r>
      <w:r w:rsidR="67F5252D">
        <w:t xml:space="preserve">Program </w:t>
      </w:r>
      <w:r>
        <w:t>project that is not sufficiently cost effective, Customer may agree to pay the portion of a project’s cost that prevents it from qualifying for the Program</w:t>
      </w:r>
      <w:r w:rsidR="67F5252D">
        <w:t>—</w:t>
      </w:r>
      <w:r>
        <w:t xml:space="preserve">as an upfront payment to the Program Operator. </w:t>
      </w:r>
    </w:p>
    <w:p w14:paraId="715879E7" w14:textId="2254C66B" w:rsidR="0037451A" w:rsidRPr="005C3526" w:rsidRDefault="46B5C59E" w:rsidP="0037451A">
      <w:pPr>
        <w:pStyle w:val="ListParagraph"/>
        <w:numPr>
          <w:ilvl w:val="1"/>
          <w:numId w:val="40"/>
        </w:numPr>
      </w:pPr>
      <w:r>
        <w:t xml:space="preserve">Existing </w:t>
      </w:r>
      <w:r w:rsidR="67F5252D">
        <w:t>b</w:t>
      </w:r>
      <w:r>
        <w:t xml:space="preserve">uildings: Projects that address measures to existing buildings deemed unlikely to be habitable or to serve their intended purpose for the duration of Service Charges will not be approved unless other funding can </w:t>
      </w:r>
      <w:r w:rsidR="7E18F9E4">
        <w:t xml:space="preserve">be used to make </w:t>
      </w:r>
      <w:r>
        <w:t>necessary repairs.</w:t>
      </w:r>
    </w:p>
    <w:p w14:paraId="443D1780" w14:textId="1A2F4C52" w:rsidR="00A774C2" w:rsidRPr="001A18D0" w:rsidRDefault="00A774C2" w:rsidP="0037451A">
      <w:pPr>
        <w:pStyle w:val="ListParagraph"/>
        <w:numPr>
          <w:ilvl w:val="0"/>
          <w:numId w:val="40"/>
        </w:numPr>
      </w:pPr>
      <w:r w:rsidRPr="001A18D0">
        <w:rPr>
          <w:b/>
          <w:bCs/>
        </w:rPr>
        <w:t>Approved Program Contractors</w:t>
      </w:r>
      <w:r>
        <w:t>: All CEMs must be installed by Contractors that have</w:t>
      </w:r>
      <w:r w:rsidR="00844949">
        <w:t xml:space="preserve"> been approved by the Utility or Program Sponsor, subject to criteria specified in the TOB Program Regulations.</w:t>
      </w:r>
    </w:p>
    <w:p w14:paraId="2272EB76" w14:textId="3F63B88F" w:rsidR="0037451A" w:rsidRPr="005C3526" w:rsidRDefault="46B5C59E" w:rsidP="0037451A">
      <w:pPr>
        <w:pStyle w:val="ListParagraph"/>
        <w:numPr>
          <w:ilvl w:val="0"/>
          <w:numId w:val="40"/>
        </w:numPr>
      </w:pPr>
      <w:r w:rsidRPr="727BFE15">
        <w:rPr>
          <w:b/>
          <w:bCs/>
        </w:rPr>
        <w:t xml:space="preserve">Quality </w:t>
      </w:r>
      <w:r w:rsidR="7E18F9E4" w:rsidRPr="727BFE15">
        <w:rPr>
          <w:b/>
          <w:bCs/>
        </w:rPr>
        <w:t>a</w:t>
      </w:r>
      <w:r w:rsidRPr="727BFE15">
        <w:rPr>
          <w:b/>
          <w:bCs/>
        </w:rPr>
        <w:t>ssurance:</w:t>
      </w:r>
      <w:r>
        <w:t xml:space="preserve"> When the measures are completed, the installer(s) will be paid by the Utility or Program Sponsor</w:t>
      </w:r>
      <w:r w:rsidR="389962FB">
        <w:t>,</w:t>
      </w:r>
      <w:r>
        <w:t xml:space="preserve"> if different, following </w:t>
      </w:r>
      <w:r w:rsidR="0BAC3368">
        <w:t>verification</w:t>
      </w:r>
      <w:r>
        <w:t xml:space="preserve"> and approval of the installation by the Utility or Program Sponsor</w:t>
      </w:r>
      <w:r w:rsidR="389962FB">
        <w:t>,</w:t>
      </w:r>
      <w:r>
        <w:t xml:space="preserve"> if different. </w:t>
      </w:r>
    </w:p>
    <w:p w14:paraId="2DBFCE75" w14:textId="7899FD03" w:rsidR="0037451A" w:rsidRPr="005C3526" w:rsidRDefault="46B5C59E" w:rsidP="0037451A">
      <w:pPr>
        <w:pStyle w:val="ListParagraph"/>
        <w:numPr>
          <w:ilvl w:val="0"/>
          <w:numId w:val="40"/>
        </w:numPr>
      </w:pPr>
      <w:r w:rsidRPr="727BFE15">
        <w:rPr>
          <w:b/>
          <w:bCs/>
        </w:rPr>
        <w:t xml:space="preserve">Program Service Charge: </w:t>
      </w:r>
      <w:r>
        <w:t>The Utility will recover the costs for the CEM investments made under this E-TOB Schedule</w:t>
      </w:r>
      <w:r w:rsidR="0BAC3368">
        <w:t>,</w:t>
      </w:r>
      <w:r>
        <w:t xml:space="preserve"> including any fees as allowed in this tariff</w:t>
      </w:r>
      <w:r w:rsidR="0BAC3368">
        <w:t>,</w:t>
      </w:r>
      <w:r>
        <w:t xml:space="preserve"> through monthly Service Charges assigned to the meter at the location where measures are installed and paid by Customers at that property</w:t>
      </w:r>
      <w:r w:rsidR="74406635">
        <w:t>,</w:t>
      </w:r>
      <w:r>
        <w:t xml:space="preserve"> until all </w:t>
      </w:r>
      <w:r w:rsidR="74406635">
        <w:t xml:space="preserve">costs of the </w:t>
      </w:r>
      <w:r>
        <w:t>Utility or Program Sponsor</w:t>
      </w:r>
      <w:r w:rsidR="74406635">
        <w:t>,</w:t>
      </w:r>
      <w:r>
        <w:t xml:space="preserve"> if different, have been recovered. The annualized Service Charges will not exceed 80</w:t>
      </w:r>
      <w:r w:rsidR="76CF20C2">
        <w:t xml:space="preserve"> percent</w:t>
      </w:r>
      <w:r>
        <w:t xml:space="preserve"> of total estimated annual savings. The Service Charge term will not exceed the weighted estimated life of the</w:t>
      </w:r>
      <w:r w:rsidR="64C5C26C">
        <w:t xml:space="preserve"> installed CEMs</w:t>
      </w:r>
      <w:r>
        <w:t>.</w:t>
      </w:r>
    </w:p>
    <w:p w14:paraId="5FC31279" w14:textId="314549AD" w:rsidR="008A3A19" w:rsidRDefault="46B5C59E" w:rsidP="0037451A">
      <w:pPr>
        <w:ind w:left="720"/>
      </w:pPr>
      <w:r>
        <w:t>For tenant-occupied Premises, the landlord will be required to contribute a co</w:t>
      </w:r>
      <w:r w:rsidR="58B142DA">
        <w:t>-</w:t>
      </w:r>
      <w:r>
        <w:t>payment</w:t>
      </w:r>
      <w:r w:rsidR="77FBE668">
        <w:t xml:space="preserve"> subject to calculation methods specified in the TOB Program Regulations.</w:t>
      </w:r>
    </w:p>
    <w:p w14:paraId="2DEBB5D6" w14:textId="531C433D" w:rsidR="0037451A" w:rsidRPr="005C3526" w:rsidRDefault="46B5C59E" w:rsidP="0037451A">
      <w:pPr>
        <w:ind w:left="720"/>
      </w:pPr>
      <w:r>
        <w:t xml:space="preserve">Adjustments to the Program Service Charge to </w:t>
      </w:r>
      <w:r w:rsidR="58B142DA">
        <w:t>i</w:t>
      </w:r>
      <w:r>
        <w:t xml:space="preserve">ncorporate </w:t>
      </w:r>
      <w:r w:rsidR="58B142DA">
        <w:t>a</w:t>
      </w:r>
      <w:r>
        <w:t xml:space="preserve">vailable </w:t>
      </w:r>
      <w:r w:rsidR="58B142DA">
        <w:t>i</w:t>
      </w:r>
      <w:r>
        <w:t>ncentives: The Utility or Program Sponsor</w:t>
      </w:r>
      <w:r w:rsidR="58B142DA">
        <w:t>,</w:t>
      </w:r>
      <w:r>
        <w:t xml:space="preserve"> if different, may reduce the measure cost with an incentive payment for eligible measures</w:t>
      </w:r>
      <w:r w:rsidR="58B142DA">
        <w:t xml:space="preserve">; the incentive must be </w:t>
      </w:r>
      <w:r>
        <w:t xml:space="preserve">less than or equal to the value of the measures to the Utility. </w:t>
      </w:r>
    </w:p>
    <w:p w14:paraId="46AB95CE" w14:textId="74463923" w:rsidR="0037451A" w:rsidRPr="005C3526" w:rsidRDefault="46B5C59E" w:rsidP="0037451A">
      <w:pPr>
        <w:pStyle w:val="ListParagraph"/>
        <w:numPr>
          <w:ilvl w:val="1"/>
          <w:numId w:val="40"/>
        </w:numPr>
      </w:pPr>
      <w:r>
        <w:t xml:space="preserve">For owner-occupied homes, any available incentives will be applied </w:t>
      </w:r>
      <w:r w:rsidR="58B142DA">
        <w:t xml:space="preserve">first </w:t>
      </w:r>
      <w:r>
        <w:t xml:space="preserve">to reduce or eliminate the project installation costs and a </w:t>
      </w:r>
      <w:bookmarkStart w:id="27" w:name="_Int_jRdj2yao"/>
      <w:r>
        <w:t>Customer’s</w:t>
      </w:r>
      <w:bookmarkEnd w:id="27"/>
      <w:r>
        <w:t xml:space="preserve"> co</w:t>
      </w:r>
      <w:r w:rsidR="58B142DA">
        <w:t>-</w:t>
      </w:r>
      <w:r>
        <w:t xml:space="preserve">pay requirement. Any additional available incentives will then be applied to reduce the TOB investment requirement. </w:t>
      </w:r>
    </w:p>
    <w:p w14:paraId="3F9EC91E" w14:textId="471B6C7F" w:rsidR="0037451A" w:rsidRPr="005C3526" w:rsidRDefault="46B5C59E" w:rsidP="0037451A">
      <w:pPr>
        <w:pStyle w:val="ListParagraph"/>
        <w:numPr>
          <w:ilvl w:val="1"/>
          <w:numId w:val="40"/>
        </w:numPr>
      </w:pPr>
      <w:r>
        <w:t xml:space="preserve">For tenant-occupied homes, any available financial incentives shall be applied </w:t>
      </w:r>
      <w:r w:rsidR="58B142DA">
        <w:t xml:space="preserve">first </w:t>
      </w:r>
      <w:r>
        <w:t>to zero out any tenant co</w:t>
      </w:r>
      <w:r w:rsidR="58B142DA">
        <w:t>-</w:t>
      </w:r>
      <w:r>
        <w:t>payment requirement. The remaining balance of incentive funds shall then be applied to reduce both the tenant’s contribution (via the Program Service Charge) and the landlord’s contribution (via a co</w:t>
      </w:r>
      <w:r w:rsidR="58B142DA">
        <w:t>-</w:t>
      </w:r>
      <w:r>
        <w:t>payment) in equal proportion.</w:t>
      </w:r>
    </w:p>
    <w:p w14:paraId="4996501A" w14:textId="19CB4159" w:rsidR="0037451A" w:rsidRPr="005C3526" w:rsidRDefault="46B5C59E" w:rsidP="0037451A">
      <w:pPr>
        <w:pStyle w:val="ListParagraph"/>
        <w:numPr>
          <w:ilvl w:val="1"/>
          <w:numId w:val="40"/>
        </w:numPr>
      </w:pPr>
      <w:r>
        <w:t xml:space="preserve">In either scenario, a Tariffed On-Bill charge will be applied </w:t>
      </w:r>
      <w:r w:rsidR="58B142DA">
        <w:t xml:space="preserve">only </w:t>
      </w:r>
      <w:r>
        <w:t>to the balance</w:t>
      </w:r>
      <w:r w:rsidR="58B142DA">
        <w:t>,</w:t>
      </w:r>
      <w:r>
        <w:t xml:space="preserve"> and only if it meets the </w:t>
      </w:r>
      <w:r w:rsidR="58B142DA">
        <w:t>P</w:t>
      </w:r>
      <w:r>
        <w:t>rogram’s cash positive requirements.</w:t>
      </w:r>
    </w:p>
    <w:p w14:paraId="268BC4DF" w14:textId="77777777" w:rsidR="0037451A" w:rsidRPr="005C3526" w:rsidRDefault="0037451A" w:rsidP="0037451A">
      <w:pPr>
        <w:ind w:left="720"/>
      </w:pPr>
      <w:r w:rsidRPr="005C3526">
        <w:t xml:space="preserve">The Service Charges and duration of payments will be included in the TOB Participant Agreement. </w:t>
      </w:r>
    </w:p>
    <w:p w14:paraId="5B0C672B" w14:textId="4082D99C" w:rsidR="0037451A" w:rsidRPr="005C3526" w:rsidRDefault="46B5C59E" w:rsidP="0037451A">
      <w:pPr>
        <w:pStyle w:val="ListParagraph"/>
        <w:numPr>
          <w:ilvl w:val="1"/>
          <w:numId w:val="40"/>
        </w:numPr>
      </w:pPr>
      <w:r>
        <w:t xml:space="preserve">Cost </w:t>
      </w:r>
      <w:r w:rsidR="73264F19">
        <w:t>r</w:t>
      </w:r>
      <w:r>
        <w:t xml:space="preserve">ecovery: The Service Charge will be </w:t>
      </w:r>
      <w:r w:rsidR="73264F19">
        <w:t xml:space="preserve">applied to </w:t>
      </w:r>
      <w:r>
        <w:t>the Customer’s electric bill</w:t>
      </w:r>
      <w:r w:rsidR="73264F19">
        <w:t>,</w:t>
      </w:r>
      <w:r>
        <w:t xml:space="preserve"> following a minimum of 45 calendar days after installation of measures</w:t>
      </w:r>
      <w:r w:rsidR="73264F19">
        <w:t>,</w:t>
      </w:r>
      <w:r>
        <w:t xml:space="preserve"> and </w:t>
      </w:r>
      <w:r w:rsidR="73264F19">
        <w:t xml:space="preserve">the </w:t>
      </w:r>
      <w:r>
        <w:t xml:space="preserve">Utility or </w:t>
      </w:r>
      <w:r w:rsidR="77FBE668">
        <w:t xml:space="preserve">the </w:t>
      </w:r>
      <w:r>
        <w:t xml:space="preserve">Program </w:t>
      </w:r>
      <w:r w:rsidR="77FBE668">
        <w:t>Sponsor</w:t>
      </w:r>
      <w:r>
        <w:t xml:space="preserve"> have approved the completed work. The Customer will be billed the monthly Service Charge as determined by the Utility or Program Sponsor. The Utility will bill and collect Service Charges until the Utility has recovered all approved costs for installed CEMs (including any applicable annual maintenance fees)</w:t>
      </w:r>
      <w:r w:rsidR="01458808">
        <w:t>,</w:t>
      </w:r>
      <w:r>
        <w:t xml:space="preserve"> except in cases discussed in Repairs</w:t>
      </w:r>
      <w:r w:rsidR="26999F44">
        <w:t xml:space="preserve"> (Item </w:t>
      </w:r>
      <w:bookmarkStart w:id="28" w:name="_Int_8YseOtry"/>
      <w:r w:rsidR="26999F44" w:rsidRPr="727BFE15">
        <w:rPr>
          <w:i/>
          <w:iCs/>
        </w:rPr>
        <w:t>i</w:t>
      </w:r>
      <w:bookmarkEnd w:id="28"/>
      <w:r w:rsidR="26999F44" w:rsidRPr="727BFE15">
        <w:rPr>
          <w:i/>
          <w:iCs/>
        </w:rPr>
        <w:t xml:space="preserve"> </w:t>
      </w:r>
      <w:r w:rsidR="26999F44">
        <w:t>in this section).</w:t>
      </w:r>
    </w:p>
    <w:p w14:paraId="2FEAC57D" w14:textId="4768875C" w:rsidR="00BD0A00" w:rsidRPr="005C3526" w:rsidRDefault="652852BC" w:rsidP="00BD0A00">
      <w:pPr>
        <w:pStyle w:val="ListParagraph"/>
        <w:numPr>
          <w:ilvl w:val="1"/>
          <w:numId w:val="40"/>
        </w:numPr>
      </w:pPr>
      <w:r>
        <w:t xml:space="preserve">Maintenance of </w:t>
      </w:r>
      <w:r w:rsidR="01458808">
        <w:t>m</w:t>
      </w:r>
      <w:r>
        <w:t xml:space="preserve">easures: Participating Customers and building owners (if the Customer is not the building owner) must agree, when signing the TOB Participant Agreement or the Owner Agreement, to </w:t>
      </w:r>
      <w:r w:rsidR="4459DDB2">
        <w:t xml:space="preserve">(1) </w:t>
      </w:r>
      <w:r>
        <w:t xml:space="preserve">keep the measures in place for the duration of Service Charges, </w:t>
      </w:r>
      <w:r w:rsidR="4459DDB2">
        <w:t xml:space="preserve">(2) </w:t>
      </w:r>
      <w:r>
        <w:t xml:space="preserve">maintain the measures per manufacturers' instructions, </w:t>
      </w:r>
      <w:r w:rsidR="4459DDB2">
        <w:t xml:space="preserve">(3) </w:t>
      </w:r>
      <w:r>
        <w:t xml:space="preserve">participate in any </w:t>
      </w:r>
      <w:r w:rsidR="4459DDB2">
        <w:t>P</w:t>
      </w:r>
      <w:r>
        <w:t>rogram</w:t>
      </w:r>
      <w:r w:rsidR="4459DDB2">
        <w:t>-</w:t>
      </w:r>
      <w:r>
        <w:t xml:space="preserve">required annual maintenance, and </w:t>
      </w:r>
      <w:r w:rsidR="4459DDB2">
        <w:t xml:space="preserve">(4) </w:t>
      </w:r>
      <w:r>
        <w:t>report the failure of any measures to the Program Operator</w:t>
      </w:r>
      <w:r w:rsidR="4459DDB2">
        <w:t xml:space="preserve">, </w:t>
      </w:r>
      <w:r>
        <w:t>Utility</w:t>
      </w:r>
      <w:r w:rsidR="4459DDB2">
        <w:t>,</w:t>
      </w:r>
      <w:r>
        <w:t xml:space="preserve"> or Program Sponsor</w:t>
      </w:r>
      <w:r w:rsidR="4459DDB2">
        <w:t>,</w:t>
      </w:r>
      <w:r>
        <w:t xml:space="preserve"> if different, as soon as possible. If a measure fails, the Utility or Program Sponsor</w:t>
      </w:r>
      <w:r w:rsidR="4459DDB2">
        <w:t>,</w:t>
      </w:r>
      <w:r>
        <w:t xml:space="preserve"> if different, is responsible for determining its cause and for repairing the equipment in a timely manner</w:t>
      </w:r>
      <w:r w:rsidR="4459DDB2">
        <w:t>,</w:t>
      </w:r>
      <w:r>
        <w:t xml:space="preserve"> as long as the </w:t>
      </w:r>
      <w:r w:rsidR="4459DDB2">
        <w:t>O</w:t>
      </w:r>
      <w:r>
        <w:t>wner, Customer, or occupants did not damage the measures, in which case they will reimburse the Utility or Program Sponsor</w:t>
      </w:r>
      <w:r w:rsidR="4459DDB2">
        <w:t>,</w:t>
      </w:r>
      <w:r>
        <w:t xml:space="preserve"> if different, as described </w:t>
      </w:r>
      <w:bookmarkStart w:id="29" w:name="_Int_j7DvUWBW"/>
      <w:r>
        <w:t>in Repairs</w:t>
      </w:r>
      <w:bookmarkEnd w:id="29"/>
      <w:r w:rsidR="26999F44">
        <w:t xml:space="preserve"> (item </w:t>
      </w:r>
      <w:bookmarkStart w:id="30" w:name="_Int_WARA1zdj"/>
      <w:r w:rsidR="26999F44" w:rsidRPr="727BFE15">
        <w:rPr>
          <w:i/>
          <w:iCs/>
        </w:rPr>
        <w:t>i</w:t>
      </w:r>
      <w:bookmarkEnd w:id="30"/>
      <w:r w:rsidR="26999F44" w:rsidRPr="727BFE15">
        <w:rPr>
          <w:i/>
          <w:iCs/>
        </w:rPr>
        <w:t xml:space="preserve"> </w:t>
      </w:r>
      <w:r w:rsidR="26999F44">
        <w:t>in this section)</w:t>
      </w:r>
      <w:r w:rsidR="4459DDB2">
        <w:t>.</w:t>
      </w:r>
    </w:p>
    <w:p w14:paraId="77F251E3" w14:textId="54B917E5" w:rsidR="006374E3" w:rsidRPr="005C3526" w:rsidRDefault="790FE3B9" w:rsidP="006374E3">
      <w:pPr>
        <w:pStyle w:val="ListParagraph"/>
        <w:numPr>
          <w:ilvl w:val="1"/>
          <w:numId w:val="40"/>
        </w:numPr>
      </w:pPr>
      <w:r>
        <w:t xml:space="preserve">Annual </w:t>
      </w:r>
      <w:r w:rsidR="4459DDB2">
        <w:t>m</w:t>
      </w:r>
      <w:r>
        <w:t xml:space="preserve">aintenance </w:t>
      </w:r>
      <w:r w:rsidR="4459DDB2">
        <w:t>p</w:t>
      </w:r>
      <w:r>
        <w:t>lan: The Utility or Program Sponsor</w:t>
      </w:r>
      <w:r w:rsidR="4459DDB2">
        <w:t>,</w:t>
      </w:r>
      <w:r>
        <w:t xml:space="preserve"> if different, may offer to participating Customers an annual maintenance plan for qualifying equipment, under terms and rules to be specified in the TOB Regulations. Billing for the annual maintenance plan </w:t>
      </w:r>
      <w:r w:rsidR="1E051DC3">
        <w:t>may</w:t>
      </w:r>
      <w:r>
        <w:t xml:space="preserve"> be included on the Customer bill as a supplement to the Program Service Charge. The maintenance plan is not an essential utility service. Customers may opt out of the plan</w:t>
      </w:r>
      <w:r w:rsidR="26999F44">
        <w:t xml:space="preserve">; </w:t>
      </w:r>
      <w:r>
        <w:t xml:space="preserve">calculation of the maintenance fee is independent of the </w:t>
      </w:r>
      <w:r w:rsidR="26999F44">
        <w:t>n</w:t>
      </w:r>
      <w:r w:rsidR="1A894363">
        <w:t xml:space="preserve">et </w:t>
      </w:r>
      <w:r w:rsidR="26999F44">
        <w:t>s</w:t>
      </w:r>
      <w:r w:rsidR="1A894363">
        <w:t xml:space="preserve">avings </w:t>
      </w:r>
      <w:r w:rsidR="06992D3F">
        <w:t xml:space="preserve">provision specified </w:t>
      </w:r>
      <w:r w:rsidR="26999F44">
        <w:t>in Special Conditions (3 b)</w:t>
      </w:r>
      <w:r w:rsidR="26999F44" w:rsidRPr="727BFE15">
        <w:rPr>
          <w:i/>
          <w:iCs/>
        </w:rPr>
        <w:t xml:space="preserve">, </w:t>
      </w:r>
      <w:r w:rsidR="06992D3F">
        <w:t>above</w:t>
      </w:r>
      <w:r>
        <w:t>. Nonpayment of the maintenance plan line item simply results in the Customer being unenrolled in the plan. Under no circumstances will nonpayment of the maintenance plan line item trigger any disconnection or arrears management actions.</w:t>
      </w:r>
    </w:p>
    <w:p w14:paraId="561C2397" w14:textId="7C886AE6" w:rsidR="0037451A" w:rsidRPr="005C3526" w:rsidRDefault="46B5C59E" w:rsidP="0037451A">
      <w:pPr>
        <w:pStyle w:val="ListParagraph"/>
        <w:numPr>
          <w:ilvl w:val="1"/>
          <w:numId w:val="40"/>
        </w:numPr>
      </w:pPr>
      <w:r>
        <w:t xml:space="preserve">Termination of </w:t>
      </w:r>
      <w:r w:rsidR="26999F44">
        <w:t>s</w:t>
      </w:r>
      <w:r>
        <w:t xml:space="preserve">ervice </w:t>
      </w:r>
      <w:r w:rsidR="26999F44">
        <w:t>c</w:t>
      </w:r>
      <w:r>
        <w:t>harge: Once the Utility’s or Program Sponsor’s</w:t>
      </w:r>
      <w:r w:rsidR="26999F44">
        <w:t>,</w:t>
      </w:r>
      <w:r>
        <w:t xml:space="preserve"> if different, costs for measures at a location have been recovered, the monthly Service Charge will no longer be billed, except as described below in Repairs</w:t>
      </w:r>
      <w:r w:rsidR="26999F44">
        <w:t xml:space="preserve"> (Item </w:t>
      </w:r>
      <w:bookmarkStart w:id="31" w:name="_Int_vI3UHEJL"/>
      <w:r w:rsidR="26999F44" w:rsidRPr="727BFE15">
        <w:rPr>
          <w:i/>
          <w:iCs/>
        </w:rPr>
        <w:t>i</w:t>
      </w:r>
      <w:bookmarkEnd w:id="31"/>
      <w:r w:rsidR="26999F44" w:rsidRPr="727BFE15">
        <w:rPr>
          <w:i/>
          <w:iCs/>
        </w:rPr>
        <w:t xml:space="preserve"> </w:t>
      </w:r>
      <w:r w:rsidR="26999F44">
        <w:t>in this section)</w:t>
      </w:r>
      <w:r>
        <w:t>.</w:t>
      </w:r>
    </w:p>
    <w:p w14:paraId="108E40E8" w14:textId="3D8A9A64" w:rsidR="0037451A" w:rsidRDefault="46B5C59E" w:rsidP="0037451A">
      <w:pPr>
        <w:pStyle w:val="ListParagraph"/>
        <w:numPr>
          <w:ilvl w:val="1"/>
          <w:numId w:val="40"/>
        </w:numPr>
      </w:pPr>
      <w:r>
        <w:t xml:space="preserve">Vacancy: If a location at which measures have been installed becomes vacant for any reason and electric service is disconnected, Service Charges will be suspended until a successor Customer takes occupancy. If a building </w:t>
      </w:r>
      <w:r w:rsidR="26999F44">
        <w:t>O</w:t>
      </w:r>
      <w:r>
        <w:t xml:space="preserve">wner maintains electric service at the location, the building </w:t>
      </w:r>
      <w:r w:rsidR="26999F44">
        <w:t>O</w:t>
      </w:r>
      <w:r>
        <w:t>wner will be billed Service Charges as part of any charges it incurs while electric service is turned on.</w:t>
      </w:r>
    </w:p>
    <w:p w14:paraId="6D213319" w14:textId="7E2F8A54" w:rsidR="005668AB" w:rsidRDefault="545EB74A" w:rsidP="005668AB">
      <w:pPr>
        <w:pStyle w:val="ListParagraph"/>
        <w:numPr>
          <w:ilvl w:val="1"/>
          <w:numId w:val="40"/>
        </w:numPr>
      </w:pPr>
      <w:r>
        <w:t>Repairs: If the Utility or Program Sponsor</w:t>
      </w:r>
      <w:r w:rsidR="26999F44">
        <w:t>, i</w:t>
      </w:r>
      <w:r>
        <w:t xml:space="preserve">f different, determines, during the billing of Service Charges, that the installed measure(s) are no longer functioning as intended and that the Customer, or building </w:t>
      </w:r>
      <w:r w:rsidR="5DA27C6E">
        <w:t>O</w:t>
      </w:r>
      <w:r>
        <w:t>wner</w:t>
      </w:r>
      <w:r w:rsidR="5DA27C6E">
        <w:t>,</w:t>
      </w:r>
      <w:r>
        <w:t xml:space="preserve"> if different, did not damage or fail to maintain the measures in place, the Utility will reduce or suspend the Service Charges until the Utility can repair the measure(s). If the measure(s) cannot be repaired or replaced cost effectively, the Utility will waive remaining Service Charges. If the Utility or Program Sponsor</w:t>
      </w:r>
      <w:r w:rsidR="5DA27C6E">
        <w:t>,</w:t>
      </w:r>
      <w:r>
        <w:t xml:space="preserve"> if different, determines the Customer or building </w:t>
      </w:r>
      <w:r w:rsidR="5DA27C6E">
        <w:t>O</w:t>
      </w:r>
      <w:r>
        <w:t>wner</w:t>
      </w:r>
      <w:r w:rsidR="5DA27C6E">
        <w:t>,</w:t>
      </w:r>
      <w:r>
        <w:t xml:space="preserve"> if different, did damage or fail to maintain the measure(s), it will seek to recover all costs associated with the installation, including the balance of all unpaid and unbilled Service Charges and legal fees</w:t>
      </w:r>
      <w:r w:rsidR="29C9F0F8">
        <w:t>, which shall be due and payable immediately</w:t>
      </w:r>
      <w:r>
        <w:t>.</w:t>
      </w:r>
    </w:p>
    <w:p w14:paraId="3C5CD115" w14:textId="6877C1BD" w:rsidR="0037451A" w:rsidRPr="005C3526" w:rsidRDefault="46B5C59E" w:rsidP="0037451A">
      <w:pPr>
        <w:pStyle w:val="ListParagraph"/>
        <w:numPr>
          <w:ilvl w:val="1"/>
          <w:numId w:val="40"/>
        </w:numPr>
      </w:pPr>
      <w:r>
        <w:t>Extension of Service Charge: If the monthly Service Charge is reduced or suspended</w:t>
      </w:r>
      <w:r w:rsidR="29C9F0F8">
        <w:t xml:space="preserve"> for Vacancy or Repairs</w:t>
      </w:r>
      <w:r>
        <w:t xml:space="preserve">, once repairs have been successfully </w:t>
      </w:r>
      <w:r w:rsidR="2C88019C">
        <w:t xml:space="preserve">made </w:t>
      </w:r>
      <w:r>
        <w:t xml:space="preserve">or service reconnected, the number of total monthly payments will be extended </w:t>
      </w:r>
      <w:r w:rsidR="1C6D3B02">
        <w:t xml:space="preserve">by the number of </w:t>
      </w:r>
      <w:r>
        <w:t>Service Charge</w:t>
      </w:r>
      <w:r w:rsidR="1C6D3B02">
        <w:t xml:space="preserve"> payments that were skipped during Vacancy or Repairs</w:t>
      </w:r>
      <w:r>
        <w:t xml:space="preserve">. </w:t>
      </w:r>
    </w:p>
    <w:p w14:paraId="4FCDF370" w14:textId="7B6A8568" w:rsidR="0037451A" w:rsidRPr="00FF62ED" w:rsidRDefault="46B5C59E" w:rsidP="0037451A">
      <w:pPr>
        <w:pStyle w:val="ListParagraph"/>
        <w:numPr>
          <w:ilvl w:val="1"/>
          <w:numId w:val="40"/>
        </w:numPr>
      </w:pPr>
      <w:r>
        <w:t>Tied to the Premise: Until cost recovery for measures at the Premise is complete or the measures fail and cannot be cost-effectively repaired as described in Repairs</w:t>
      </w:r>
      <w:r w:rsidR="4E4F6E66">
        <w:t xml:space="preserve"> (Item </w:t>
      </w:r>
      <w:r w:rsidR="4E4F6E66" w:rsidRPr="727BFE15">
        <w:rPr>
          <w:i/>
          <w:iCs/>
        </w:rPr>
        <w:t xml:space="preserve">i </w:t>
      </w:r>
      <w:r w:rsidR="4E4F6E66">
        <w:t>in this section)</w:t>
      </w:r>
      <w:r>
        <w:t>, the terms of this tariff will be</w:t>
      </w:r>
      <w:r w:rsidR="0E8B833C">
        <w:t xml:space="preserve"> automatically</w:t>
      </w:r>
      <w:r>
        <w:t xml:space="preserve"> binding on the Premise and any future Customer who will receive service at that Premise.</w:t>
      </w:r>
    </w:p>
    <w:p w14:paraId="2B00DD3D" w14:textId="29CD6FAC" w:rsidR="0037451A" w:rsidRPr="005C3526" w:rsidRDefault="46B5C59E" w:rsidP="0037451A">
      <w:pPr>
        <w:pStyle w:val="ListParagraph"/>
        <w:numPr>
          <w:ilvl w:val="1"/>
          <w:numId w:val="40"/>
        </w:numPr>
      </w:pPr>
      <w:r>
        <w:t xml:space="preserve">Disconnection for </w:t>
      </w:r>
      <w:r w:rsidR="7D82F0E7">
        <w:t>n</w:t>
      </w:r>
      <w:r>
        <w:t>on-</w:t>
      </w:r>
      <w:r w:rsidR="7D82F0E7">
        <w:t>p</w:t>
      </w:r>
      <w:r>
        <w:t>ayment: Without regard to any other approved Utility rules or policies, the Service Charges will be considered an essential part of the Customer’s bill for electric service, and the Utility may disconnect the property for non-payment of Service Charges under the same provisions as for any other electric service. If service is disconnected for Customers on pre-paid payment plans, Service Charges will be pro-rated by the day.</w:t>
      </w:r>
    </w:p>
    <w:p w14:paraId="5B3446EC" w14:textId="5B296E6D" w:rsidR="0037451A" w:rsidRPr="005C3526" w:rsidRDefault="46B5C59E" w:rsidP="0037451A">
      <w:pPr>
        <w:pStyle w:val="ListParagraph"/>
        <w:numPr>
          <w:ilvl w:val="1"/>
          <w:numId w:val="40"/>
        </w:numPr>
      </w:pPr>
      <w:r>
        <w:t xml:space="preserve">Paid to date and </w:t>
      </w:r>
      <w:r w:rsidR="329CE3E3">
        <w:t>r</w:t>
      </w:r>
      <w:r>
        <w:t xml:space="preserve">emaining </w:t>
      </w:r>
      <w:r w:rsidR="329CE3E3">
        <w:t>p</w:t>
      </w:r>
      <w:r>
        <w:t>ay</w:t>
      </w:r>
      <w:r w:rsidR="329CE3E3">
        <w:t>-o</w:t>
      </w:r>
      <w:r>
        <w:t xml:space="preserve">ff. </w:t>
      </w:r>
      <w:r w:rsidR="329CE3E3">
        <w:t xml:space="preserve">The </w:t>
      </w:r>
      <w:r w:rsidR="74A9ABA0">
        <w:t xml:space="preserve">Utility or </w:t>
      </w:r>
      <w:r>
        <w:t xml:space="preserve">Program Sponsor shall provide, upon Customer request and </w:t>
      </w:r>
      <w:r w:rsidR="39CD108E">
        <w:t xml:space="preserve">/ </w:t>
      </w:r>
      <w:r>
        <w:t xml:space="preserve">or </w:t>
      </w:r>
      <w:r w:rsidR="39CD108E">
        <w:t xml:space="preserve">the request of </w:t>
      </w:r>
      <w:r>
        <w:t xml:space="preserve">the </w:t>
      </w:r>
      <w:r w:rsidR="39CD108E">
        <w:t>O</w:t>
      </w:r>
      <w:r>
        <w:t>wner, the value of Service Charges paid to date, the number of remaining Service Charges to achieve full cost recovery, and the remaining pay</w:t>
      </w:r>
      <w:r w:rsidR="39CD108E">
        <w:t>-</w:t>
      </w:r>
      <w:r>
        <w:t xml:space="preserve">off for full cost recovery. </w:t>
      </w:r>
    </w:p>
    <w:p w14:paraId="7F91BCCC" w14:textId="005C28B3" w:rsidR="0037451A" w:rsidRPr="005C3526" w:rsidRDefault="4FC255D1" w:rsidP="0037451A">
      <w:pPr>
        <w:pStyle w:val="ListParagraph"/>
        <w:numPr>
          <w:ilvl w:val="1"/>
          <w:numId w:val="40"/>
        </w:numPr>
      </w:pPr>
      <w:r>
        <w:t>Prepayment of the Utility’s</w:t>
      </w:r>
      <w:r w:rsidR="6303BB3F">
        <w:t xml:space="preserve"> </w:t>
      </w:r>
      <w:r w:rsidR="39CD108E">
        <w:t>c</w:t>
      </w:r>
      <w:r w:rsidR="6303BB3F">
        <w:t xml:space="preserve">ost </w:t>
      </w:r>
      <w:r w:rsidR="39CD108E">
        <w:t>r</w:t>
      </w:r>
      <w:r w:rsidR="6303BB3F">
        <w:t>ecovery</w:t>
      </w:r>
      <w:r>
        <w:t xml:space="preserve"> </w:t>
      </w:r>
      <w:r w:rsidR="39CD108E">
        <w:t>i</w:t>
      </w:r>
      <w:r>
        <w:t>nterest in the CEMs: The Customer may, without prepayment penalty, pay the entire outstanding balance of Program Service Charges in one lump sum</w:t>
      </w:r>
      <w:r w:rsidR="39CD108E">
        <w:t>,</w:t>
      </w:r>
      <w:r>
        <w:t xml:space="preserve"> provided the Customer first notifies </w:t>
      </w:r>
      <w:r w:rsidR="39CD108E">
        <w:t>[</w:t>
      </w:r>
      <w:r w:rsidR="650D4592" w:rsidRPr="727BFE15">
        <w:rPr>
          <w:rFonts w:eastAsia="Times New Roman"/>
          <w:color w:val="000000"/>
        </w:rPr>
        <w:t>IOU</w:t>
      </w:r>
      <w:r w:rsidR="13DB0D61" w:rsidRPr="727BFE15">
        <w:rPr>
          <w:rFonts w:eastAsia="Times New Roman"/>
          <w:color w:val="000000"/>
        </w:rPr>
        <w:t>]</w:t>
      </w:r>
      <w:r>
        <w:t xml:space="preserve"> and obtains </w:t>
      </w:r>
      <w:r w:rsidR="13DB0D61">
        <w:t>[</w:t>
      </w:r>
      <w:r w:rsidR="650D4592" w:rsidRPr="727BFE15">
        <w:rPr>
          <w:rFonts w:eastAsia="Times New Roman"/>
          <w:color w:val="000000"/>
        </w:rPr>
        <w:t>IOU</w:t>
      </w:r>
      <w:r>
        <w:t>’s</w:t>
      </w:r>
      <w:r w:rsidR="13DB0D61">
        <w:t>]</w:t>
      </w:r>
      <w:r>
        <w:t xml:space="preserve"> approval </w:t>
      </w:r>
      <w:r w:rsidR="13DB0D61">
        <w:t xml:space="preserve">before </w:t>
      </w:r>
      <w:r>
        <w:t xml:space="preserve">making the lump sum payment. Accelerated payments received from the Customer without prior </w:t>
      </w:r>
      <w:r w:rsidR="13DB0D61">
        <w:t>[</w:t>
      </w:r>
      <w:r w:rsidR="650D4592" w:rsidRPr="727BFE15">
        <w:rPr>
          <w:rFonts w:eastAsia="Times New Roman"/>
          <w:color w:val="000000"/>
        </w:rPr>
        <w:t>IOU</w:t>
      </w:r>
      <w:r w:rsidR="13DB0D61" w:rsidRPr="727BFE15">
        <w:rPr>
          <w:rFonts w:eastAsia="Times New Roman"/>
          <w:color w:val="000000"/>
        </w:rPr>
        <w:t>]</w:t>
      </w:r>
      <w:r>
        <w:t xml:space="preserve"> approval may, at </w:t>
      </w:r>
      <w:r w:rsidR="4CB16C68">
        <w:t>[</w:t>
      </w:r>
      <w:r w:rsidR="650D4592" w:rsidRPr="727BFE15">
        <w:rPr>
          <w:rFonts w:eastAsia="Times New Roman"/>
          <w:color w:val="000000"/>
        </w:rPr>
        <w:t>IOU</w:t>
      </w:r>
      <w:r>
        <w:t>’s</w:t>
      </w:r>
      <w:r w:rsidR="4CB16C68">
        <w:t>]</w:t>
      </w:r>
      <w:r>
        <w:t xml:space="preserve"> sole discretion, be applied proportionally to subsequent energy charges and Program Service Charges</w:t>
      </w:r>
      <w:r w:rsidR="4CB16C68">
        <w:t>; [</w:t>
      </w:r>
      <w:r w:rsidR="650D4592" w:rsidRPr="727BFE15">
        <w:rPr>
          <w:rFonts w:eastAsia="Times New Roman"/>
          <w:color w:val="000000"/>
        </w:rPr>
        <w:t>IOU</w:t>
      </w:r>
      <w:r w:rsidR="4CB16C68" w:rsidRPr="727BFE15">
        <w:rPr>
          <w:rFonts w:eastAsia="Times New Roman"/>
          <w:color w:val="000000"/>
        </w:rPr>
        <w:t>]</w:t>
      </w:r>
      <w:r>
        <w:t xml:space="preserve"> shall have no obligation to credit accelerated payments exclusively to subsequent Program Service Charges. </w:t>
      </w:r>
    </w:p>
    <w:p w14:paraId="77F26E53" w14:textId="519D52F8" w:rsidR="0037451A" w:rsidRPr="005C3526" w:rsidRDefault="46B5C59E" w:rsidP="0037451A">
      <w:pPr>
        <w:pStyle w:val="ListParagraph"/>
        <w:numPr>
          <w:ilvl w:val="0"/>
          <w:numId w:val="40"/>
        </w:numPr>
      </w:pPr>
      <w:r w:rsidRPr="727BFE15">
        <w:rPr>
          <w:b/>
          <w:bCs/>
        </w:rPr>
        <w:t>Noticing</w:t>
      </w:r>
      <w:r w:rsidR="4CB16C68" w:rsidRPr="727BFE15">
        <w:rPr>
          <w:b/>
          <w:bCs/>
        </w:rPr>
        <w:t>:</w:t>
      </w:r>
      <w:r w:rsidRPr="727BFE15">
        <w:rPr>
          <w:b/>
          <w:bCs/>
        </w:rPr>
        <w:t xml:space="preserve"> </w:t>
      </w:r>
      <w:r>
        <w:t xml:space="preserve">The </w:t>
      </w:r>
      <w:r w:rsidR="4CB16C68">
        <w:t>O</w:t>
      </w:r>
      <w:r>
        <w:t>wner must agree</w:t>
      </w:r>
      <w:r w:rsidR="4CB16C68">
        <w:t>,</w:t>
      </w:r>
      <w:r>
        <w:t xml:space="preserve"> as part of the TOB Participant Agreement (if the </w:t>
      </w:r>
      <w:r w:rsidR="4CB16C68">
        <w:t>O</w:t>
      </w:r>
      <w:r>
        <w:t>wner is the Customer) or Owners Agreement</w:t>
      </w:r>
      <w:r w:rsidR="4CB16C68">
        <w:t>,</w:t>
      </w:r>
      <w:r>
        <w:t xml:space="preserve"> to have a Notice attached to their property records.</w:t>
      </w:r>
      <w:r w:rsidR="001E1172">
        <w:rPr>
          <w:rStyle w:val="FootnoteReference"/>
        </w:rPr>
        <w:footnoteReference w:id="34"/>
      </w:r>
      <w:r>
        <w:t xml:space="preserve"> Failure to obtain the signature on the Notice Form of a successor Customer who is renting the premises or a purchaser</w:t>
      </w:r>
      <w:r w:rsidR="69896035">
        <w:t>, i</w:t>
      </w:r>
      <w:r>
        <w:t>n jurisdictions in which the Utility or Program Sponsor</w:t>
      </w:r>
      <w:r w:rsidR="6DF9CEFF">
        <w:t>,</w:t>
      </w:r>
      <w:r>
        <w:t xml:space="preserve"> if different, cannot attach the Notice to the property records, indicating that the successor Customer received notice</w:t>
      </w:r>
      <w:r w:rsidR="3479C3EA">
        <w:t>,</w:t>
      </w:r>
      <w:r>
        <w:t xml:space="preserve"> will constitute the </w:t>
      </w:r>
      <w:r w:rsidR="69896035">
        <w:t>O</w:t>
      </w:r>
      <w:r>
        <w:t>wner’s acceptance of consequential damages and permission for a tenant or purchaser to break their lease or sales agreement without penalty.</w:t>
      </w:r>
    </w:p>
    <w:p w14:paraId="2A7F6D40" w14:textId="0CA03BD0" w:rsidR="0037451A" w:rsidRPr="005C3526" w:rsidRDefault="46B5C59E" w:rsidP="0037451A">
      <w:pPr>
        <w:pStyle w:val="ListParagraph"/>
        <w:numPr>
          <w:ilvl w:val="0"/>
          <w:numId w:val="40"/>
        </w:numPr>
      </w:pPr>
      <w:r w:rsidRPr="727BFE15">
        <w:rPr>
          <w:b/>
          <w:bCs/>
        </w:rPr>
        <w:t xml:space="preserve">Monitoring and </w:t>
      </w:r>
      <w:r w:rsidR="69896035" w:rsidRPr="727BFE15">
        <w:rPr>
          <w:b/>
          <w:bCs/>
        </w:rPr>
        <w:t>e</w:t>
      </w:r>
      <w:r w:rsidRPr="727BFE15">
        <w:rPr>
          <w:b/>
          <w:bCs/>
        </w:rPr>
        <w:t>valuation:</w:t>
      </w:r>
      <w:r>
        <w:t xml:space="preserve"> The Utility or Program Sponsor</w:t>
      </w:r>
      <w:r w:rsidR="69896035">
        <w:t>,</w:t>
      </w:r>
      <w:r>
        <w:t xml:space="preserve"> if different,</w:t>
      </w:r>
      <w:r w:rsidR="011A219C">
        <w:t xml:space="preserve"> </w:t>
      </w:r>
      <w:r>
        <w:t xml:space="preserve">will compare each participant’s post-installation actual annual savings to estimated annual savings at least once for each location. If any instances are identified </w:t>
      </w:r>
      <w:r w:rsidR="69896035">
        <w:t xml:space="preserve">in which </w:t>
      </w:r>
      <w:r>
        <w:t>actual</w:t>
      </w:r>
      <w:r w:rsidR="0A8694E4">
        <w:t xml:space="preserve"> CEM</w:t>
      </w:r>
      <w:r>
        <w:t xml:space="preserve"> savings are below </w:t>
      </w:r>
      <w:r w:rsidR="001E1172">
        <w:t>8</w:t>
      </w:r>
      <w:r>
        <w:t>0</w:t>
      </w:r>
      <w:r w:rsidR="76CF20C2">
        <w:t xml:space="preserve"> percent</w:t>
      </w:r>
      <w:r>
        <w:t xml:space="preserve"> of the </w:t>
      </w:r>
      <w:r w:rsidR="21374951">
        <w:t xml:space="preserve">CEM’s </w:t>
      </w:r>
      <w:r>
        <w:t>estimated savings, the Utility or Program Sponsor</w:t>
      </w:r>
      <w:r w:rsidR="69896035">
        <w:t>,</w:t>
      </w:r>
      <w:r>
        <w:t xml:space="preserve"> if different, will investigate to identify the cause and take appropriate action including those described in the TOB Program Regulations and this E-TOB Schedule. </w:t>
      </w:r>
    </w:p>
    <w:p w14:paraId="758EF6E8" w14:textId="77777777" w:rsidR="0037451A" w:rsidRPr="005C3526" w:rsidRDefault="0037451A" w:rsidP="0037451A">
      <w:pPr>
        <w:pStyle w:val="ListParagraph"/>
        <w:numPr>
          <w:ilvl w:val="0"/>
          <w:numId w:val="40"/>
        </w:numPr>
      </w:pPr>
      <w:r w:rsidRPr="00C27112">
        <w:rPr>
          <w:b/>
          <w:bCs/>
        </w:rPr>
        <w:t>Applicable rate and rate time periods</w:t>
      </w:r>
      <w:r w:rsidRPr="005C3526">
        <w:t xml:space="preserve"> are defined as follows: </w:t>
      </w:r>
    </w:p>
    <w:p w14:paraId="08A30723" w14:textId="4E17E2AD" w:rsidR="0037451A" w:rsidRPr="00FB71FD" w:rsidRDefault="46B5C59E" w:rsidP="0037451A">
      <w:pPr>
        <w:pStyle w:val="ListParagraph"/>
        <w:numPr>
          <w:ilvl w:val="1"/>
          <w:numId w:val="40"/>
        </w:numPr>
      </w:pPr>
      <w:r>
        <w:t>PG&amp;E E-Elec</w:t>
      </w:r>
      <w:r w:rsidR="19D9C376">
        <w:t xml:space="preserve"> or EV-2</w:t>
      </w:r>
      <w:r>
        <w:t xml:space="preserve"> [</w:t>
      </w:r>
      <w:r w:rsidR="69896035">
        <w:t>c</w:t>
      </w:r>
      <w:r>
        <w:t xml:space="preserve">ite </w:t>
      </w:r>
      <w:r w:rsidR="69896035">
        <w:t>s</w:t>
      </w:r>
      <w:r>
        <w:t>ource</w:t>
      </w:r>
      <w:r w:rsidR="69896035">
        <w:t xml:space="preserve"> </w:t>
      </w:r>
      <w:r>
        <w:t>/</w:t>
      </w:r>
      <w:r w:rsidR="69896035">
        <w:t xml:space="preserve"> r</w:t>
      </w:r>
      <w:r>
        <w:t>eference]</w:t>
      </w:r>
    </w:p>
    <w:p w14:paraId="71559012" w14:textId="342C9B02" w:rsidR="0037451A" w:rsidRPr="00FB71FD" w:rsidRDefault="46B5C59E" w:rsidP="0037451A">
      <w:pPr>
        <w:pStyle w:val="ListParagraph"/>
        <w:numPr>
          <w:ilvl w:val="1"/>
          <w:numId w:val="40"/>
        </w:numPr>
      </w:pPr>
      <w:r>
        <w:t>SCE TOU-D Prime: [</w:t>
      </w:r>
      <w:r w:rsidR="69896035">
        <w:t>c</w:t>
      </w:r>
      <w:r>
        <w:t xml:space="preserve">ite </w:t>
      </w:r>
      <w:r w:rsidR="69896035">
        <w:t>s</w:t>
      </w:r>
      <w:r>
        <w:t>ource</w:t>
      </w:r>
      <w:r w:rsidR="69896035">
        <w:t xml:space="preserve"> </w:t>
      </w:r>
      <w:r>
        <w:t>/</w:t>
      </w:r>
      <w:r w:rsidR="69896035">
        <w:t xml:space="preserve"> r</w:t>
      </w:r>
      <w:r>
        <w:t>eference]</w:t>
      </w:r>
    </w:p>
    <w:p w14:paraId="7A84F1E1" w14:textId="6B4DA82E" w:rsidR="0037451A" w:rsidRPr="00FB71FD" w:rsidRDefault="46B5C59E" w:rsidP="0037451A">
      <w:pPr>
        <w:pStyle w:val="ListParagraph"/>
        <w:numPr>
          <w:ilvl w:val="1"/>
          <w:numId w:val="40"/>
        </w:numPr>
      </w:pPr>
      <w:r>
        <w:t>SCE TOU-D Prime-CPP: [</w:t>
      </w:r>
      <w:r w:rsidR="69896035">
        <w:t>c</w:t>
      </w:r>
      <w:r>
        <w:t xml:space="preserve">ite </w:t>
      </w:r>
      <w:r w:rsidR="69896035">
        <w:t>s</w:t>
      </w:r>
      <w:r>
        <w:t>ource</w:t>
      </w:r>
      <w:r w:rsidR="69896035">
        <w:t xml:space="preserve"> </w:t>
      </w:r>
      <w:r>
        <w:t>/</w:t>
      </w:r>
      <w:r w:rsidR="69896035">
        <w:t xml:space="preserve"> r</w:t>
      </w:r>
      <w:r>
        <w:t>eference]</w:t>
      </w:r>
    </w:p>
    <w:p w14:paraId="594041F1" w14:textId="78D346B1" w:rsidR="0037451A" w:rsidRPr="000A44DD" w:rsidRDefault="46B5C59E" w:rsidP="0037451A">
      <w:pPr>
        <w:pStyle w:val="ListParagraph"/>
        <w:numPr>
          <w:ilvl w:val="0"/>
          <w:numId w:val="40"/>
        </w:numPr>
      </w:pPr>
      <w:r w:rsidRPr="727BFE15">
        <w:rPr>
          <w:b/>
          <w:bCs/>
        </w:rPr>
        <w:t xml:space="preserve">Other </w:t>
      </w:r>
      <w:r w:rsidR="69896035" w:rsidRPr="727BFE15">
        <w:rPr>
          <w:b/>
          <w:bCs/>
        </w:rPr>
        <w:t>a</w:t>
      </w:r>
      <w:r w:rsidRPr="727BFE15">
        <w:rPr>
          <w:b/>
          <w:bCs/>
        </w:rPr>
        <w:t xml:space="preserve">pplicable </w:t>
      </w:r>
      <w:r w:rsidR="69896035" w:rsidRPr="727BFE15">
        <w:rPr>
          <w:b/>
          <w:bCs/>
        </w:rPr>
        <w:t>t</w:t>
      </w:r>
      <w:r w:rsidRPr="727BFE15">
        <w:rPr>
          <w:b/>
          <w:bCs/>
        </w:rPr>
        <w:t>erms.</w:t>
      </w:r>
      <w:r>
        <w:t xml:space="preserve"> Nothing in this </w:t>
      </w:r>
      <w:r w:rsidR="69896035">
        <w:t>R</w:t>
      </w:r>
      <w:r>
        <w:t xml:space="preserve">ate </w:t>
      </w:r>
      <w:r w:rsidR="69896035">
        <w:t>S</w:t>
      </w:r>
      <w:r>
        <w:t xml:space="preserve">chedule limits a </w:t>
      </w:r>
      <w:bookmarkStart w:id="32" w:name="_Int_fIgnkaOa"/>
      <w:r>
        <w:t>Customer’s</w:t>
      </w:r>
      <w:bookmarkEnd w:id="32"/>
      <w:r>
        <w:t xml:space="preserve"> ability to participate in California Alternate Rates for Energy (CARE), Family Electric Rate Assistance, Arrearage Management Plan, or </w:t>
      </w:r>
      <w:bookmarkStart w:id="33" w:name="_Int_2qlsODOe"/>
      <w:r>
        <w:t>other</w:t>
      </w:r>
      <w:bookmarkEnd w:id="33"/>
      <w:r>
        <w:t xml:space="preserve"> Utility-sponsored program for which the Customer would otherwise be eligible.</w:t>
      </w:r>
    </w:p>
    <w:p w14:paraId="712439F7" w14:textId="5C238247" w:rsidR="001D50FF" w:rsidRDefault="001D50FF" w:rsidP="005D71C2">
      <w:pPr>
        <w:pStyle w:val="Heading3"/>
      </w:pPr>
      <w:r>
        <w:t>Discussion of E-TOB Terms</w:t>
      </w:r>
    </w:p>
    <w:p w14:paraId="2CB8193E" w14:textId="77777777" w:rsidR="00880006" w:rsidRDefault="000B6129" w:rsidP="001D50FF">
      <w:r>
        <w:t>The Commission has posed</w:t>
      </w:r>
      <w:r w:rsidR="00880006">
        <w:t xml:space="preserve"> two topics for discussion:</w:t>
      </w:r>
    </w:p>
    <w:p w14:paraId="2B9F9321" w14:textId="6A3DC6B4" w:rsidR="001D50FF" w:rsidRDefault="6CB58EDA" w:rsidP="00FF62ED">
      <w:pPr>
        <w:pStyle w:val="ListParagraph"/>
        <w:numPr>
          <w:ilvl w:val="0"/>
          <w:numId w:val="53"/>
        </w:numPr>
      </w:pPr>
      <w:r>
        <w:t xml:space="preserve">The expected payment prioritization of the on-bill charge that discusses any </w:t>
      </w:r>
      <w:r w:rsidR="69896035">
        <w:t xml:space="preserve">stated </w:t>
      </w:r>
      <w:r>
        <w:t>potential legal, regulatory, and customer protection mechanisms.</w:t>
      </w:r>
    </w:p>
    <w:p w14:paraId="5949B528" w14:textId="367DF20A" w:rsidR="001D50FF" w:rsidRDefault="6CB58EDA" w:rsidP="00880006">
      <w:pPr>
        <w:pStyle w:val="ListParagraph"/>
        <w:numPr>
          <w:ilvl w:val="0"/>
          <w:numId w:val="53"/>
        </w:numPr>
      </w:pPr>
      <w:r>
        <w:t xml:space="preserve">Whether the </w:t>
      </w:r>
      <w:r w:rsidR="69896035">
        <w:t>P</w:t>
      </w:r>
      <w:r>
        <w:t>rogram will be implemented through modifications to an existing or a new tariff offering, and the anticipated costs associated with implementing the updated or new tariff.</w:t>
      </w:r>
    </w:p>
    <w:p w14:paraId="0834750A" w14:textId="7A23657D" w:rsidR="00880006" w:rsidRDefault="229F0D98" w:rsidP="00880006">
      <w:r>
        <w:t>As noted above in Tariff paragraph 6.</w:t>
      </w:r>
      <w:r w:rsidR="002959FE">
        <w:t>l</w:t>
      </w:r>
      <w:r>
        <w:t>, the Service Charges will be considered an essential part of the Customer’s bill for electric</w:t>
      </w:r>
      <w:r w:rsidR="69896035">
        <w:t>ity</w:t>
      </w:r>
      <w:r>
        <w:t xml:space="preserve"> service, and the Utility may disconnect the property for non-payment of Service Charges under the same provisions as for any other electric service.</w:t>
      </w:r>
      <w:r w:rsidR="4BF64CBE">
        <w:t xml:space="preserve"> The Commission has taken important steps in recent years to minimize </w:t>
      </w:r>
      <w:r w:rsidR="69896035">
        <w:t>C</w:t>
      </w:r>
      <w:r w:rsidR="4BF64CBE">
        <w:t>ustomer exposure to</w:t>
      </w:r>
      <w:r w:rsidR="7E9C8BA4">
        <w:t xml:space="preserve"> disconnection risks, including the institution of arrears management plans and suspension of disconnections during the </w:t>
      </w:r>
      <w:r w:rsidR="69896035">
        <w:t xml:space="preserve">COVID-19 </w:t>
      </w:r>
      <w:r w:rsidR="7E9C8BA4">
        <w:t xml:space="preserve">pandemic. Because TOB works </w:t>
      </w:r>
      <w:r w:rsidR="78D8D1CA">
        <w:t>via</w:t>
      </w:r>
      <w:r w:rsidR="7E9C8BA4">
        <w:t xml:space="preserve"> a shared savings</w:t>
      </w:r>
      <w:r w:rsidR="78D8D1CA">
        <w:t xml:space="preserve"> with no new financial obligations to the </w:t>
      </w:r>
      <w:r w:rsidR="69896035">
        <w:t>C</w:t>
      </w:r>
      <w:r w:rsidR="78D8D1CA">
        <w:t xml:space="preserve">ustomer, </w:t>
      </w:r>
      <w:r w:rsidR="52E49B1E">
        <w:t>[</w:t>
      </w:r>
      <w:r w:rsidR="78D8D1CA">
        <w:t>Program Sponsor] sees no need to propose</w:t>
      </w:r>
      <w:r w:rsidR="12CD28E4">
        <w:t xml:space="preserve"> further modifications to the disconnection rules.</w:t>
      </w:r>
    </w:p>
    <w:p w14:paraId="72D2865C" w14:textId="0B4318E4" w:rsidR="001A7947" w:rsidRPr="001D50FF" w:rsidRDefault="0014222D" w:rsidP="00FF62ED">
      <w:r>
        <w:t xml:space="preserve">E-TOB is </w:t>
      </w:r>
      <w:r w:rsidR="001A7947">
        <w:t xml:space="preserve">proposed as a new tariffed offering that would function as a rider to the Customer’s </w:t>
      </w:r>
      <w:r w:rsidR="00C37EA1">
        <w:t xml:space="preserve">otherwise applicable tariff. </w:t>
      </w:r>
      <w:r w:rsidR="001A7947" w:rsidRPr="004C3BA3">
        <w:rPr>
          <w:rFonts w:eastAsia="Times New Roman"/>
          <w:color w:val="000000"/>
        </w:rPr>
        <w:t xml:space="preserve">All charges and provisions of the </w:t>
      </w:r>
      <w:r w:rsidR="001A7947">
        <w:rPr>
          <w:rFonts w:eastAsia="Times New Roman"/>
          <w:color w:val="000000"/>
        </w:rPr>
        <w:t>Customer</w:t>
      </w:r>
      <w:r w:rsidR="001A7947" w:rsidRPr="004C3BA3">
        <w:rPr>
          <w:rFonts w:eastAsia="Times New Roman"/>
          <w:color w:val="000000"/>
        </w:rPr>
        <w:t xml:space="preserve">’s otherwise applicable tariffs </w:t>
      </w:r>
      <w:r w:rsidR="00C37EA1">
        <w:rPr>
          <w:rFonts w:eastAsia="Times New Roman"/>
          <w:color w:val="000000"/>
        </w:rPr>
        <w:t>would continue to</w:t>
      </w:r>
      <w:r w:rsidR="001A7947" w:rsidRPr="004C3BA3">
        <w:rPr>
          <w:rFonts w:eastAsia="Times New Roman"/>
          <w:color w:val="000000"/>
        </w:rPr>
        <w:t xml:space="preserve"> apply.</w:t>
      </w:r>
    </w:p>
    <w:p w14:paraId="57C7CD69" w14:textId="7D4C3F45" w:rsidR="005D71C2" w:rsidRDefault="00293F59" w:rsidP="005D71C2">
      <w:pPr>
        <w:pStyle w:val="Heading3"/>
      </w:pPr>
      <w:r>
        <w:t>Request</w:t>
      </w:r>
      <w:r w:rsidR="008A5D7A">
        <w:t xml:space="preserve"> for New Building Electrification</w:t>
      </w:r>
      <w:r w:rsidR="005D71C2">
        <w:t xml:space="preserve"> Tariff</w:t>
      </w:r>
    </w:p>
    <w:p w14:paraId="22157A4A" w14:textId="723ED963" w:rsidR="003A1A7A" w:rsidRDefault="07ADC444">
      <w:r>
        <w:t>[Program Sponsor] hereby requests the Commission to direct the IOUs to develop a new</w:t>
      </w:r>
      <w:r w:rsidR="7C9A069A">
        <w:t xml:space="preserve"> TOU tariff for </w:t>
      </w:r>
      <w:r w:rsidR="69896035">
        <w:t>C</w:t>
      </w:r>
      <w:r w:rsidR="3708D66A">
        <w:t xml:space="preserve">ustomers </w:t>
      </w:r>
      <w:r w:rsidR="69896035">
        <w:t xml:space="preserve">who </w:t>
      </w:r>
      <w:r w:rsidR="3708D66A">
        <w:t>adopt building electrification measures. The tariff should incorporate a two-tiered pricing structure</w:t>
      </w:r>
      <w:r w:rsidR="397A5FBD">
        <w:t>,</w:t>
      </w:r>
      <w:r w:rsidR="74206457">
        <w:t xml:space="preserve"> with the lowest tier</w:t>
      </w:r>
      <w:r w:rsidR="62AE3244">
        <w:t xml:space="preserve"> price set to the </w:t>
      </w:r>
      <w:r w:rsidR="69896035">
        <w:t>U</w:t>
      </w:r>
      <w:r w:rsidR="62AE3244">
        <w:t>tility’s marginal cost of providing electricity service</w:t>
      </w:r>
      <w:r w:rsidR="69896035">
        <w:t>,</w:t>
      </w:r>
      <w:r w:rsidR="07FC652A">
        <w:t xml:space="preserve"> and </w:t>
      </w:r>
      <w:r w:rsidR="7AC4F6EE">
        <w:t>baseline quantities</w:t>
      </w:r>
      <w:r w:rsidR="1A5707B3">
        <w:t xml:space="preserve"> set</w:t>
      </w:r>
      <w:r w:rsidR="07FC652A">
        <w:t xml:space="preserve"> to the expected incremental load to be added</w:t>
      </w:r>
      <w:r w:rsidR="5CC0F410">
        <w:t xml:space="preserve"> via building electrification.</w:t>
      </w:r>
      <w:r w:rsidR="46297FDE">
        <w:t xml:space="preserve"> </w:t>
      </w:r>
      <w:r w:rsidR="20F7B17A">
        <w:t xml:space="preserve">This </w:t>
      </w:r>
      <w:r w:rsidR="5CC0F410">
        <w:t>innovation in rate design</w:t>
      </w:r>
      <w:r w:rsidR="20F7B17A">
        <w:t xml:space="preserve"> is needed to remedy a cost shift that would otherwise occur from participating ratepayers to nonparticipating ratepayers.</w:t>
      </w:r>
      <w:r w:rsidR="1A5707B3">
        <w:t xml:space="preserve"> The two-tiered structure should </w:t>
      </w:r>
      <w:r w:rsidR="4C90EB31">
        <w:t xml:space="preserve">apply </w:t>
      </w:r>
      <w:r w:rsidR="0C2082FC">
        <w:t xml:space="preserve">only </w:t>
      </w:r>
      <w:r w:rsidR="4C90EB31">
        <w:t xml:space="preserve">to </w:t>
      </w:r>
      <w:r w:rsidR="397A5FBD">
        <w:t>off-</w:t>
      </w:r>
      <w:r w:rsidR="4C90EB31">
        <w:t>peak</w:t>
      </w:r>
      <w:r w:rsidR="397A5FBD">
        <w:t xml:space="preserve"> and partial-peak</w:t>
      </w:r>
      <w:r w:rsidR="4C90EB31">
        <w:t xml:space="preserve"> periods as a way of incentivizing building electrification adopters to prioritize new loads</w:t>
      </w:r>
      <w:r w:rsidR="397A5FBD">
        <w:t xml:space="preserve"> for off-peak periods, thereby minimizing negative grid impacts.</w:t>
      </w:r>
    </w:p>
    <w:p w14:paraId="13DE938B" w14:textId="685D59E1" w:rsidR="00AB79A4" w:rsidRDefault="7582655B">
      <w:r>
        <w:t>In D.21-11-016</w:t>
      </w:r>
      <w:r w:rsidR="7C6AB429">
        <w:t>, the Commission approved PG&amp;E’s proposal</w:t>
      </w:r>
      <w:r w:rsidR="3FD32CA9">
        <w:t xml:space="preserve"> to add a new E-ELEC rate, which is scheduled to</w:t>
      </w:r>
      <w:r w:rsidR="54D4FDBB">
        <w:t xml:space="preserve"> become active in December 2022.</w:t>
      </w:r>
      <w:r w:rsidR="53E6AAD1">
        <w:t xml:space="preserve"> The E-ELEC rate was part of a joint settlement </w:t>
      </w:r>
      <w:r w:rsidR="0B92F432">
        <w:t xml:space="preserve">among </w:t>
      </w:r>
      <w:r w:rsidR="53E6AAD1">
        <w:t>PG&amp;E, TURN, Cal Advocates, CforAT, WMA, Joint CCAs, NRDC, Sierra Club, SEIA, and CALSSA.</w:t>
      </w:r>
      <w:r w:rsidR="274FAE4C">
        <w:t xml:space="preserve"> PG&amp;E also proposed to modify Schedule EV2’s applicability language to permit customers with heat pumps for water or space heating to qualify for that rate as well</w:t>
      </w:r>
      <w:r w:rsidR="7D168597">
        <w:t>. The</w:t>
      </w:r>
      <w:r w:rsidR="3E595384">
        <w:t xml:space="preserve"> proposed and approved changes would thus give building electrification customers two options for managing their electricity costs.</w:t>
      </w:r>
    </w:p>
    <w:p w14:paraId="651B5DE2" w14:textId="046EFEBE" w:rsidR="00485A2D" w:rsidRDefault="3D8A0896">
      <w:r>
        <w:t xml:space="preserve">Although </w:t>
      </w:r>
      <w:r w:rsidR="3E595384">
        <w:t>these changes are welcome, they</w:t>
      </w:r>
      <w:r w:rsidR="1D77E97E">
        <w:t xml:space="preserve"> do not go far enough to send a clear price signal in favor of building </w:t>
      </w:r>
      <w:r w:rsidR="56E0A464">
        <w:t>electrification,</w:t>
      </w:r>
      <w:r w:rsidR="1D77E97E">
        <w:t xml:space="preserve"> and they do not fully mitigate the </w:t>
      </w:r>
      <w:r w:rsidR="1D50EB29">
        <w:t xml:space="preserve">cost shift </w:t>
      </w:r>
      <w:r>
        <w:t xml:space="preserve">that will otherwise occur </w:t>
      </w:r>
      <w:r w:rsidR="1D50EB29">
        <w:t>between participants and nonparticipants.</w:t>
      </w:r>
      <w:r w:rsidR="2F8F75E2">
        <w:t xml:space="preserve"> Since these changes were negotiated via a settlement process, this current proposal leaves</w:t>
      </w:r>
      <w:r w:rsidR="7396E709">
        <w:t xml:space="preserve"> the </w:t>
      </w:r>
      <w:r w:rsidR="7582655B">
        <w:t>D.21-11-016</w:t>
      </w:r>
      <w:r w:rsidR="3E5C57DA">
        <w:t xml:space="preserve"> decision</w:t>
      </w:r>
      <w:r w:rsidR="7396E709">
        <w:t xml:space="preserve"> intact and, instead, proposes that customers be offered a third-rate option for building electrification. It would be reasonable to restrict this option to customers who adopt </w:t>
      </w:r>
      <w:r w:rsidR="21D10CE6">
        <w:t xml:space="preserve">new </w:t>
      </w:r>
      <w:r w:rsidR="7396E709">
        <w:t>building electrification measures</w:t>
      </w:r>
      <w:r>
        <w:t>,</w:t>
      </w:r>
      <w:r w:rsidR="7396E709">
        <w:t xml:space="preserve"> </w:t>
      </w:r>
      <w:r w:rsidR="02BE17C7">
        <w:t>in conjunction with opting into the new E-TOB rate.</w:t>
      </w:r>
      <w:r w:rsidR="68697D9A">
        <w:t xml:space="preserve"> In addition to</w:t>
      </w:r>
      <w:r w:rsidR="5EFC5816">
        <w:t xml:space="preserve"> addressing the cost-shift issue, this new rate would dramatically expand the number of customers that Tariffed On-Bill investments could cost-effectively serve</w:t>
      </w:r>
      <w:r>
        <w:t xml:space="preserve">; </w:t>
      </w:r>
      <w:r w:rsidR="5EFC5816">
        <w:t>it would</w:t>
      </w:r>
      <w:r w:rsidR="03EF68FD">
        <w:t xml:space="preserve"> </w:t>
      </w:r>
      <w:r>
        <w:t xml:space="preserve">also </w:t>
      </w:r>
      <w:r w:rsidR="03EF68FD">
        <w:t>expand the portion of project funding that could be sourced from third-party capital, thereby reducing pressures to fund the balance from ratepayer dollars.</w:t>
      </w:r>
    </w:p>
    <w:p w14:paraId="239A91D5" w14:textId="5B3B08F8" w:rsidR="00847991" w:rsidRDefault="4CA3D661">
      <w:r>
        <w:t>To illustrate the price structure for this new option</w:t>
      </w:r>
      <w:r w:rsidR="78C46AB3">
        <w:t xml:space="preserve"> using PG&amp;E service territory as an example</w:t>
      </w:r>
      <w:r>
        <w:t>,</w:t>
      </w:r>
      <w:r w:rsidR="51F2D894">
        <w:t xml:space="preserve"> this proposal adopts the new E-ELEC rate</w:t>
      </w:r>
      <w:r w:rsidR="3D8A0896">
        <w:t>,</w:t>
      </w:r>
      <w:r w:rsidR="51F2D894">
        <w:t xml:space="preserve"> </w:t>
      </w:r>
      <w:r w:rsidR="3D8A0896">
        <w:t>as</w:t>
      </w:r>
      <w:r w:rsidR="51F2D894">
        <w:t xml:space="preserve"> a suitable point of departure. As</w:t>
      </w:r>
      <w:r w:rsidR="33A3C2AA">
        <w:t xml:space="preserve"> summarized in D.2</w:t>
      </w:r>
      <w:r w:rsidR="1823B522">
        <w:t>1</w:t>
      </w:r>
      <w:r w:rsidR="33A3C2AA">
        <w:t>-</w:t>
      </w:r>
      <w:r w:rsidR="1823B522">
        <w:t>11</w:t>
      </w:r>
      <w:r w:rsidR="33A3C2AA">
        <w:t>-0</w:t>
      </w:r>
      <w:r w:rsidR="1823B522">
        <w:t>16</w:t>
      </w:r>
      <w:r w:rsidR="3D8A0896">
        <w:t xml:space="preserve"> and shown in </w:t>
      </w:r>
      <w:r w:rsidR="3D8A0896" w:rsidRPr="727BFE15">
        <w:rPr>
          <w:b/>
          <w:bCs/>
        </w:rPr>
        <w:t>Table 6</w:t>
      </w:r>
      <w:r w:rsidR="33A3C2AA">
        <w:t>, E-ELEC price structure would be as follows</w:t>
      </w:r>
      <w:r w:rsidR="3EB2BD36">
        <w:t>.</w:t>
      </w:r>
    </w:p>
    <w:p w14:paraId="651F3A87" w14:textId="27BBB824" w:rsidR="00333387" w:rsidRPr="00FF62ED" w:rsidRDefault="219F0CE4">
      <w:pPr>
        <w:rPr>
          <w:b/>
          <w:bCs/>
        </w:rPr>
      </w:pPr>
      <w:r w:rsidRPr="727BFE15">
        <w:rPr>
          <w:b/>
          <w:bCs/>
        </w:rPr>
        <w:t xml:space="preserve">Table </w:t>
      </w:r>
      <w:r w:rsidR="3D8A0896" w:rsidRPr="727BFE15">
        <w:rPr>
          <w:b/>
          <w:bCs/>
        </w:rPr>
        <w:t>6</w:t>
      </w:r>
      <w:r w:rsidRPr="727BFE15">
        <w:rPr>
          <w:b/>
          <w:bCs/>
        </w:rPr>
        <w:t xml:space="preserve">. E-ELEC </w:t>
      </w:r>
      <w:r w:rsidR="3D8A0896" w:rsidRPr="727BFE15">
        <w:rPr>
          <w:b/>
          <w:bCs/>
        </w:rPr>
        <w:t>r</w:t>
      </w:r>
      <w:r w:rsidRPr="727BFE15">
        <w:rPr>
          <w:b/>
          <w:bCs/>
        </w:rPr>
        <w:t>ates from D.2</w:t>
      </w:r>
      <w:r w:rsidR="1823B522" w:rsidRPr="727BFE15">
        <w:rPr>
          <w:b/>
          <w:bCs/>
        </w:rPr>
        <w:t>1</w:t>
      </w:r>
      <w:r w:rsidRPr="727BFE15">
        <w:rPr>
          <w:b/>
          <w:bCs/>
        </w:rPr>
        <w:t>-</w:t>
      </w:r>
      <w:r w:rsidR="1823B522" w:rsidRPr="727BFE15">
        <w:rPr>
          <w:b/>
          <w:bCs/>
        </w:rPr>
        <w:t>11</w:t>
      </w:r>
      <w:r w:rsidRPr="727BFE15">
        <w:rPr>
          <w:b/>
          <w:bCs/>
        </w:rPr>
        <w:t>-0</w:t>
      </w:r>
      <w:r w:rsidR="1823B522" w:rsidRPr="727BFE15">
        <w:rPr>
          <w:b/>
          <w:bCs/>
        </w:rPr>
        <w:t>16</w:t>
      </w:r>
    </w:p>
    <w:tbl>
      <w:tblPr>
        <w:tblStyle w:val="GridTable4-Accent1"/>
        <w:tblW w:w="0" w:type="auto"/>
        <w:tblLook w:val="04A0" w:firstRow="1" w:lastRow="0" w:firstColumn="1" w:lastColumn="0" w:noHBand="0" w:noVBand="1"/>
      </w:tblPr>
      <w:tblGrid>
        <w:gridCol w:w="4855"/>
        <w:gridCol w:w="1800"/>
      </w:tblGrid>
      <w:tr w:rsidR="008A48E4" w:rsidRPr="005015C7" w14:paraId="6C8F5C2F" w14:textId="77777777" w:rsidTr="002268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3C3E7BB" w14:textId="38865B8E" w:rsidR="008A48E4" w:rsidRPr="005015C7" w:rsidRDefault="33A3C2AA" w:rsidP="00E62EBE">
            <w:r>
              <w:t xml:space="preserve">E-ELEC </w:t>
            </w:r>
            <w:r w:rsidR="3D8A0896">
              <w:t>r</w:t>
            </w:r>
            <w:r>
              <w:t xml:space="preserve">ate </w:t>
            </w:r>
            <w:r w:rsidR="3D8A0896">
              <w:t>c</w:t>
            </w:r>
            <w:r>
              <w:t>omponent</w:t>
            </w:r>
          </w:p>
        </w:tc>
        <w:tc>
          <w:tcPr>
            <w:tcW w:w="0" w:type="dxa"/>
          </w:tcPr>
          <w:p w14:paraId="3D9DDF61" w14:textId="04DA0DCD" w:rsidR="008A48E4" w:rsidRPr="005015C7" w:rsidRDefault="33A3C2AA" w:rsidP="00E62EBE">
            <w:pPr>
              <w:cnfStyle w:val="100000000000" w:firstRow="1" w:lastRow="0" w:firstColumn="0" w:lastColumn="0" w:oddVBand="0" w:evenVBand="0" w:oddHBand="0" w:evenHBand="0" w:firstRowFirstColumn="0" w:firstRowLastColumn="0" w:lastRowFirstColumn="0" w:lastRowLastColumn="0"/>
            </w:pPr>
            <w:r>
              <w:t>Price</w:t>
            </w:r>
          </w:p>
        </w:tc>
      </w:tr>
      <w:tr w:rsidR="008A48E4" w:rsidRPr="005015C7" w14:paraId="5BE23EF7"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52D07002" w14:textId="4E1FD247" w:rsidR="008A48E4" w:rsidRPr="005015C7" w:rsidRDefault="33A3C2AA" w:rsidP="00E62EBE">
            <w:r>
              <w:t xml:space="preserve">Monthly </w:t>
            </w:r>
            <w:r w:rsidR="3D8A0896">
              <w:t>f</w:t>
            </w:r>
            <w:r>
              <w:t xml:space="preserve">ixed </w:t>
            </w:r>
            <w:r w:rsidR="3D8A0896">
              <w:t>c</w:t>
            </w:r>
            <w:r>
              <w:t>harge</w:t>
            </w:r>
          </w:p>
        </w:tc>
        <w:tc>
          <w:tcPr>
            <w:tcW w:w="1800" w:type="dxa"/>
          </w:tcPr>
          <w:p w14:paraId="2165DD29" w14:textId="77777777" w:rsidR="008A48E4" w:rsidRPr="005015C7" w:rsidRDefault="008A48E4" w:rsidP="00E62EBE">
            <w:pPr>
              <w:cnfStyle w:val="000000100000" w:firstRow="0" w:lastRow="0" w:firstColumn="0" w:lastColumn="0" w:oddVBand="0" w:evenVBand="0" w:oddHBand="1" w:evenHBand="0" w:firstRowFirstColumn="0" w:firstRowLastColumn="0" w:lastRowFirstColumn="0" w:lastRowLastColumn="0"/>
            </w:pPr>
            <w:r w:rsidRPr="005015C7">
              <w:t>$15</w:t>
            </w:r>
          </w:p>
        </w:tc>
      </w:tr>
      <w:tr w:rsidR="008A48E4" w:rsidRPr="005015C7" w14:paraId="57B6DA8C" w14:textId="77777777" w:rsidTr="727BFE15">
        <w:tc>
          <w:tcPr>
            <w:cnfStyle w:val="001000000000" w:firstRow="0" w:lastRow="0" w:firstColumn="1" w:lastColumn="0" w:oddVBand="0" w:evenVBand="0" w:oddHBand="0" w:evenHBand="0" w:firstRowFirstColumn="0" w:firstRowLastColumn="0" w:lastRowFirstColumn="0" w:lastRowLastColumn="0"/>
            <w:tcW w:w="4855" w:type="dxa"/>
          </w:tcPr>
          <w:p w14:paraId="1196781A" w14:textId="5285EA87" w:rsidR="008A48E4" w:rsidRPr="005015C7" w:rsidRDefault="33A3C2AA" w:rsidP="00E62EBE">
            <w:r>
              <w:t xml:space="preserve">Summer </w:t>
            </w:r>
            <w:r w:rsidR="3D8A0896">
              <w:t>p</w:t>
            </w:r>
            <w:r>
              <w:t>eak (4 pm – 9 pm)</w:t>
            </w:r>
          </w:p>
        </w:tc>
        <w:tc>
          <w:tcPr>
            <w:tcW w:w="1800" w:type="dxa"/>
          </w:tcPr>
          <w:p w14:paraId="548A4646" w14:textId="346362E1" w:rsidR="008A48E4" w:rsidRPr="005015C7" w:rsidRDefault="33A3C2AA" w:rsidP="00E62EBE">
            <w:pPr>
              <w:cnfStyle w:val="000000000000" w:firstRow="0" w:lastRow="0" w:firstColumn="0" w:lastColumn="0" w:oddVBand="0" w:evenVBand="0" w:oddHBand="0" w:evenHBand="0" w:firstRowFirstColumn="0" w:firstRowLastColumn="0" w:lastRowFirstColumn="0" w:lastRowLastColumn="0"/>
            </w:pPr>
            <w:r>
              <w:t>$0.43340</w:t>
            </w:r>
            <w:r w:rsidR="3D8A0896">
              <w:t xml:space="preserve"> </w:t>
            </w:r>
            <w:r>
              <w:t>/</w:t>
            </w:r>
            <w:r w:rsidR="3D8A0896">
              <w:t xml:space="preserve"> </w:t>
            </w:r>
            <w:r>
              <w:t>kWh</w:t>
            </w:r>
          </w:p>
        </w:tc>
      </w:tr>
      <w:tr w:rsidR="008A48E4" w:rsidRPr="005015C7" w14:paraId="5364F788"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1CEB1503" w14:textId="7E0FD26F" w:rsidR="008A48E4" w:rsidRPr="005015C7" w:rsidRDefault="33A3C2AA" w:rsidP="00E62EBE">
            <w:r>
              <w:t xml:space="preserve">Summer </w:t>
            </w:r>
            <w:r w:rsidR="3D8A0896">
              <w:t>p</w:t>
            </w:r>
            <w:r>
              <w:t>art-</w:t>
            </w:r>
            <w:r w:rsidR="3D8A0896">
              <w:t>p</w:t>
            </w:r>
            <w:r>
              <w:t>eak (3 – 4pm, 9 pm – 12 am)</w:t>
            </w:r>
          </w:p>
        </w:tc>
        <w:tc>
          <w:tcPr>
            <w:tcW w:w="1800" w:type="dxa"/>
          </w:tcPr>
          <w:p w14:paraId="0191DA01" w14:textId="2C82AAFB" w:rsidR="008A48E4" w:rsidRPr="005015C7" w:rsidRDefault="33A3C2AA" w:rsidP="00E62EBE">
            <w:pPr>
              <w:cnfStyle w:val="000000100000" w:firstRow="0" w:lastRow="0" w:firstColumn="0" w:lastColumn="0" w:oddVBand="0" w:evenVBand="0" w:oddHBand="1" w:evenHBand="0" w:firstRowFirstColumn="0" w:firstRowLastColumn="0" w:lastRowFirstColumn="0" w:lastRowLastColumn="0"/>
            </w:pPr>
            <w:r>
              <w:t>$0.27152</w:t>
            </w:r>
            <w:r w:rsidR="3D8A0896">
              <w:t xml:space="preserve"> </w:t>
            </w:r>
            <w:r>
              <w:t>/</w:t>
            </w:r>
            <w:r w:rsidR="3D8A0896">
              <w:t xml:space="preserve"> </w:t>
            </w:r>
            <w:r>
              <w:t>kWh</w:t>
            </w:r>
          </w:p>
        </w:tc>
      </w:tr>
      <w:tr w:rsidR="008A48E4" w:rsidRPr="005015C7" w14:paraId="428A5410" w14:textId="77777777" w:rsidTr="727BFE15">
        <w:tc>
          <w:tcPr>
            <w:cnfStyle w:val="001000000000" w:firstRow="0" w:lastRow="0" w:firstColumn="1" w:lastColumn="0" w:oddVBand="0" w:evenVBand="0" w:oddHBand="0" w:evenHBand="0" w:firstRowFirstColumn="0" w:firstRowLastColumn="0" w:lastRowFirstColumn="0" w:lastRowLastColumn="0"/>
            <w:tcW w:w="4855" w:type="dxa"/>
          </w:tcPr>
          <w:p w14:paraId="63790BD3" w14:textId="63E4273A" w:rsidR="008A48E4" w:rsidRPr="005015C7" w:rsidRDefault="33A3C2AA" w:rsidP="00E62EBE">
            <w:r>
              <w:t>Summer</w:t>
            </w:r>
            <w:r w:rsidR="3D8A0896">
              <w:t xml:space="preserve"> o</w:t>
            </w:r>
            <w:r>
              <w:t>ff-</w:t>
            </w:r>
            <w:r w:rsidR="3D8A0896">
              <w:t>p</w:t>
            </w:r>
            <w:r>
              <w:t>eak (12 am – 3 pm)</w:t>
            </w:r>
          </w:p>
        </w:tc>
        <w:tc>
          <w:tcPr>
            <w:tcW w:w="1800" w:type="dxa"/>
          </w:tcPr>
          <w:p w14:paraId="35C786C7" w14:textId="3D9C71C2" w:rsidR="008A48E4" w:rsidRPr="005015C7" w:rsidRDefault="33A3C2AA" w:rsidP="00E62EBE">
            <w:pPr>
              <w:cnfStyle w:val="000000000000" w:firstRow="0" w:lastRow="0" w:firstColumn="0" w:lastColumn="0" w:oddVBand="0" w:evenVBand="0" w:oddHBand="0" w:evenHBand="0" w:firstRowFirstColumn="0" w:firstRowLastColumn="0" w:lastRowFirstColumn="0" w:lastRowLastColumn="0"/>
            </w:pPr>
            <w:r>
              <w:t>$0.21484</w:t>
            </w:r>
            <w:r w:rsidR="3D8A0896">
              <w:t xml:space="preserve"> </w:t>
            </w:r>
            <w:r>
              <w:t>/</w:t>
            </w:r>
            <w:r w:rsidR="3D8A0896">
              <w:t xml:space="preserve"> </w:t>
            </w:r>
            <w:r>
              <w:t>kWh</w:t>
            </w:r>
          </w:p>
        </w:tc>
      </w:tr>
      <w:tr w:rsidR="008A48E4" w:rsidRPr="005015C7" w14:paraId="102C2DD8"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4FC7C680" w14:textId="1E7A498E" w:rsidR="008A48E4" w:rsidRPr="005015C7" w:rsidRDefault="33A3C2AA" w:rsidP="00E62EBE">
            <w:r>
              <w:t xml:space="preserve">Winter </w:t>
            </w:r>
            <w:r w:rsidR="3D8A0896">
              <w:t>p</w:t>
            </w:r>
            <w:r>
              <w:t>eak (4 pm – 9 pm)</w:t>
            </w:r>
          </w:p>
        </w:tc>
        <w:tc>
          <w:tcPr>
            <w:tcW w:w="1800" w:type="dxa"/>
          </w:tcPr>
          <w:p w14:paraId="3E16EA6D" w14:textId="393B3E07" w:rsidR="008A48E4" w:rsidRPr="005015C7" w:rsidRDefault="33A3C2AA" w:rsidP="00E62EBE">
            <w:pPr>
              <w:cnfStyle w:val="000000100000" w:firstRow="0" w:lastRow="0" w:firstColumn="0" w:lastColumn="0" w:oddVBand="0" w:evenVBand="0" w:oddHBand="1" w:evenHBand="0" w:firstRowFirstColumn="0" w:firstRowLastColumn="0" w:lastRowFirstColumn="0" w:lastRowLastColumn="0"/>
            </w:pPr>
            <w:r>
              <w:t>$0.24032</w:t>
            </w:r>
            <w:r w:rsidR="3D8A0896">
              <w:t xml:space="preserve"> </w:t>
            </w:r>
            <w:r>
              <w:t>/</w:t>
            </w:r>
            <w:r w:rsidR="3D8A0896">
              <w:t xml:space="preserve"> </w:t>
            </w:r>
            <w:r>
              <w:t>kWh</w:t>
            </w:r>
          </w:p>
        </w:tc>
      </w:tr>
      <w:tr w:rsidR="008A48E4" w:rsidRPr="005015C7" w14:paraId="0EAAA90F" w14:textId="77777777" w:rsidTr="727BFE15">
        <w:tc>
          <w:tcPr>
            <w:cnfStyle w:val="001000000000" w:firstRow="0" w:lastRow="0" w:firstColumn="1" w:lastColumn="0" w:oddVBand="0" w:evenVBand="0" w:oddHBand="0" w:evenHBand="0" w:firstRowFirstColumn="0" w:firstRowLastColumn="0" w:lastRowFirstColumn="0" w:lastRowLastColumn="0"/>
            <w:tcW w:w="4855" w:type="dxa"/>
          </w:tcPr>
          <w:p w14:paraId="09E76D92" w14:textId="35B75ACE" w:rsidR="008A48E4" w:rsidRPr="005015C7" w:rsidRDefault="33A3C2AA" w:rsidP="00E62EBE">
            <w:r>
              <w:t xml:space="preserve">Winter </w:t>
            </w:r>
            <w:r w:rsidR="3D8A0896">
              <w:t>p</w:t>
            </w:r>
            <w:r>
              <w:t>art-</w:t>
            </w:r>
            <w:r w:rsidR="3D8A0896">
              <w:t>p</w:t>
            </w:r>
            <w:r>
              <w:t>eak (3 – 4pm, 9 pm – 12 am)</w:t>
            </w:r>
          </w:p>
        </w:tc>
        <w:tc>
          <w:tcPr>
            <w:tcW w:w="1800" w:type="dxa"/>
          </w:tcPr>
          <w:p w14:paraId="0E633310" w14:textId="6E5A8FDB" w:rsidR="008A48E4" w:rsidRPr="005015C7" w:rsidRDefault="33A3C2AA" w:rsidP="00E62EBE">
            <w:pPr>
              <w:cnfStyle w:val="000000000000" w:firstRow="0" w:lastRow="0" w:firstColumn="0" w:lastColumn="0" w:oddVBand="0" w:evenVBand="0" w:oddHBand="0" w:evenHBand="0" w:firstRowFirstColumn="0" w:firstRowLastColumn="0" w:lastRowFirstColumn="0" w:lastRowLastColumn="0"/>
            </w:pPr>
            <w:r>
              <w:t>$0.21823</w:t>
            </w:r>
            <w:r w:rsidR="3D8A0896">
              <w:t xml:space="preserve"> </w:t>
            </w:r>
            <w:r>
              <w:t>/</w:t>
            </w:r>
            <w:r w:rsidR="3D8A0896">
              <w:t xml:space="preserve"> </w:t>
            </w:r>
            <w:r>
              <w:t>kWh</w:t>
            </w:r>
          </w:p>
        </w:tc>
      </w:tr>
      <w:tr w:rsidR="008A48E4" w:rsidRPr="005015C7" w14:paraId="039AD4C6"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4424596C" w14:textId="4A6AE792" w:rsidR="008A48E4" w:rsidRPr="005015C7" w:rsidRDefault="33A3C2AA" w:rsidP="00E62EBE">
            <w:r>
              <w:t xml:space="preserve">Winter </w:t>
            </w:r>
            <w:r w:rsidR="3D8A0896">
              <w:t>o</w:t>
            </w:r>
            <w:r>
              <w:t>ff-</w:t>
            </w:r>
            <w:r w:rsidR="3D8A0896">
              <w:t>p</w:t>
            </w:r>
            <w:r>
              <w:t>eak (12 am – 3 pm)</w:t>
            </w:r>
          </w:p>
        </w:tc>
        <w:tc>
          <w:tcPr>
            <w:tcW w:w="1800" w:type="dxa"/>
          </w:tcPr>
          <w:p w14:paraId="41876E2F" w14:textId="50F34CCD" w:rsidR="008A48E4" w:rsidRPr="005015C7" w:rsidRDefault="33A3C2AA" w:rsidP="00E62EBE">
            <w:pPr>
              <w:cnfStyle w:val="000000100000" w:firstRow="0" w:lastRow="0" w:firstColumn="0" w:lastColumn="0" w:oddVBand="0" w:evenVBand="0" w:oddHBand="1" w:evenHBand="0" w:firstRowFirstColumn="0" w:firstRowLastColumn="0" w:lastRowFirstColumn="0" w:lastRowLastColumn="0"/>
            </w:pPr>
            <w:r>
              <w:t>$0.20437</w:t>
            </w:r>
            <w:r w:rsidR="3D8A0896">
              <w:t xml:space="preserve"> </w:t>
            </w:r>
            <w:r>
              <w:t>/</w:t>
            </w:r>
            <w:r w:rsidR="3D8A0896">
              <w:t xml:space="preserve"> </w:t>
            </w:r>
            <w:r>
              <w:t>kWh</w:t>
            </w:r>
          </w:p>
        </w:tc>
      </w:tr>
    </w:tbl>
    <w:p w14:paraId="519C7735" w14:textId="221CDB82" w:rsidR="00AB79A4" w:rsidRDefault="00AB79A4"/>
    <w:p w14:paraId="481DC498" w14:textId="3094E934" w:rsidR="008A48E4" w:rsidRDefault="33A3C2AA">
      <w:r>
        <w:t>The off-peak and part-peak rates still remain substantially above the utility’s marginal cost of service</w:t>
      </w:r>
      <w:r w:rsidR="325CDF5E">
        <w:t>, as evidenced by the following results</w:t>
      </w:r>
      <w:r w:rsidR="3EB2BD36">
        <w:t xml:space="preserve"> in </w:t>
      </w:r>
      <w:r w:rsidR="3EB2BD36" w:rsidRPr="727BFE15">
        <w:rPr>
          <w:b/>
          <w:bCs/>
        </w:rPr>
        <w:t>Table 7</w:t>
      </w:r>
      <w:r w:rsidR="325CDF5E">
        <w:t xml:space="preserve"> from the 2021 Avoided Cost Calculator for Climate Zone 12</w:t>
      </w:r>
      <w:r w:rsidR="3EB2BD36">
        <w:t>.</w:t>
      </w:r>
    </w:p>
    <w:p w14:paraId="10A89C5F" w14:textId="41984E46" w:rsidR="00333387" w:rsidRPr="00FF62ED" w:rsidRDefault="219F0CE4">
      <w:pPr>
        <w:rPr>
          <w:b/>
          <w:bCs/>
        </w:rPr>
      </w:pPr>
      <w:r w:rsidRPr="727BFE15">
        <w:rPr>
          <w:b/>
          <w:bCs/>
        </w:rPr>
        <w:t xml:space="preserve">Table </w:t>
      </w:r>
      <w:r w:rsidR="3EB2BD36" w:rsidRPr="727BFE15">
        <w:rPr>
          <w:b/>
          <w:bCs/>
        </w:rPr>
        <w:t>7</w:t>
      </w:r>
      <w:r w:rsidRPr="727BFE15">
        <w:rPr>
          <w:b/>
          <w:bCs/>
        </w:rPr>
        <w:t xml:space="preserve">. Average TOU </w:t>
      </w:r>
      <w:r w:rsidR="3EB2BD36" w:rsidRPr="727BFE15">
        <w:rPr>
          <w:b/>
          <w:bCs/>
        </w:rPr>
        <w:t>l</w:t>
      </w:r>
      <w:r w:rsidRPr="727BFE15">
        <w:rPr>
          <w:b/>
          <w:bCs/>
        </w:rPr>
        <w:t xml:space="preserve">evelized </w:t>
      </w:r>
      <w:r w:rsidR="3EB2BD36" w:rsidRPr="727BFE15">
        <w:rPr>
          <w:b/>
          <w:bCs/>
        </w:rPr>
        <w:t>v</w:t>
      </w:r>
      <w:r w:rsidRPr="727BFE15">
        <w:rPr>
          <w:b/>
          <w:bCs/>
        </w:rPr>
        <w:t xml:space="preserve">alue of </w:t>
      </w:r>
      <w:r w:rsidR="3EB2BD36" w:rsidRPr="727BFE15">
        <w:rPr>
          <w:b/>
          <w:bCs/>
        </w:rPr>
        <w:t>e</w:t>
      </w:r>
      <w:r w:rsidRPr="727BFE15">
        <w:rPr>
          <w:b/>
          <w:bCs/>
        </w:rPr>
        <w:t>lectricity ($</w:t>
      </w:r>
      <w:r w:rsidR="3EB2BD36" w:rsidRPr="727BFE15">
        <w:rPr>
          <w:b/>
          <w:bCs/>
        </w:rPr>
        <w:t xml:space="preserve"> </w:t>
      </w:r>
      <w:r w:rsidRPr="727BFE15">
        <w:rPr>
          <w:b/>
          <w:bCs/>
        </w:rPr>
        <w:t>/</w:t>
      </w:r>
      <w:r w:rsidR="3EB2BD36" w:rsidRPr="727BFE15">
        <w:rPr>
          <w:b/>
          <w:bCs/>
        </w:rPr>
        <w:t xml:space="preserve"> </w:t>
      </w:r>
      <w:r w:rsidRPr="727BFE15">
        <w:rPr>
          <w:b/>
          <w:bCs/>
        </w:rPr>
        <w:t xml:space="preserve">MWh), </w:t>
      </w:r>
      <w:r w:rsidR="3EB2BD36" w:rsidRPr="727BFE15">
        <w:rPr>
          <w:b/>
          <w:bCs/>
        </w:rPr>
        <w:t xml:space="preserve">Climate Zone </w:t>
      </w:r>
      <w:r w:rsidRPr="727BFE15">
        <w:rPr>
          <w:b/>
          <w:bCs/>
        </w:rPr>
        <w:t>12</w:t>
      </w:r>
    </w:p>
    <w:tbl>
      <w:tblPr>
        <w:tblStyle w:val="GridTable4-Accent1"/>
        <w:tblW w:w="9535" w:type="dxa"/>
        <w:tblLook w:val="0420" w:firstRow="1" w:lastRow="0" w:firstColumn="0" w:lastColumn="0" w:noHBand="0" w:noVBand="1"/>
      </w:tblPr>
      <w:tblGrid>
        <w:gridCol w:w="843"/>
        <w:gridCol w:w="2212"/>
        <w:gridCol w:w="2430"/>
        <w:gridCol w:w="4050"/>
      </w:tblGrid>
      <w:tr w:rsidR="0060156F" w:rsidRPr="0060156F" w14:paraId="7F1392A7" w14:textId="77777777" w:rsidTr="00226847">
        <w:trPr>
          <w:cnfStyle w:val="100000000000" w:firstRow="1" w:lastRow="0" w:firstColumn="0" w:lastColumn="0" w:oddVBand="0" w:evenVBand="0" w:oddHBand="0" w:evenHBand="0" w:firstRowFirstColumn="0" w:firstRowLastColumn="0" w:lastRowFirstColumn="0" w:lastRowLastColumn="0"/>
        </w:trPr>
        <w:tc>
          <w:tcPr>
            <w:tcW w:w="843" w:type="dxa"/>
            <w:hideMark/>
          </w:tcPr>
          <w:p w14:paraId="7CC97B6B" w14:textId="77777777" w:rsidR="0060156F" w:rsidRPr="00FF62ED" w:rsidRDefault="0060156F" w:rsidP="0060156F">
            <w:pPr>
              <w:spacing w:before="0" w:after="0" w:line="240" w:lineRule="auto"/>
              <w:rPr>
                <w:rFonts w:eastAsia="Times New Roman" w:cs="Calibri"/>
                <w:color w:val="auto"/>
              </w:rPr>
            </w:pPr>
            <w:r w:rsidRPr="00FF62ED">
              <w:rPr>
                <w:rFonts w:eastAsia="Times New Roman" w:cs="Calibri"/>
                <w:color w:val="auto"/>
              </w:rPr>
              <w:t>TOU</w:t>
            </w:r>
          </w:p>
        </w:tc>
        <w:tc>
          <w:tcPr>
            <w:tcW w:w="2212" w:type="dxa"/>
            <w:hideMark/>
          </w:tcPr>
          <w:p w14:paraId="5890C2B6" w14:textId="77777777" w:rsidR="0060156F" w:rsidRPr="00FF62ED" w:rsidRDefault="55C7D2C0" w:rsidP="727BFE15">
            <w:pPr>
              <w:spacing w:before="0" w:after="0" w:line="240" w:lineRule="auto"/>
              <w:rPr>
                <w:rFonts w:eastAsia="Times New Roman" w:cs="Calibri"/>
                <w:color w:val="auto"/>
              </w:rPr>
            </w:pPr>
            <w:r w:rsidRPr="727BFE15">
              <w:rPr>
                <w:rFonts w:eastAsia="Times New Roman" w:cs="Calibri"/>
                <w:color w:val="auto"/>
              </w:rPr>
              <w:t>Description</w:t>
            </w:r>
          </w:p>
        </w:tc>
        <w:tc>
          <w:tcPr>
            <w:tcW w:w="2430" w:type="dxa"/>
            <w:hideMark/>
          </w:tcPr>
          <w:p w14:paraId="448AB049" w14:textId="51C92011" w:rsidR="0060156F" w:rsidRPr="00FF62ED" w:rsidRDefault="55C7D2C0" w:rsidP="727BFE15">
            <w:pPr>
              <w:spacing w:before="0" w:after="0" w:line="240" w:lineRule="auto"/>
              <w:jc w:val="center"/>
              <w:rPr>
                <w:rFonts w:ascii="Palatino Linotype" w:eastAsia="Palatino Linotype" w:hAnsi="Palatino Linotype"/>
                <w:color w:val="141414"/>
              </w:rPr>
            </w:pPr>
            <w:r w:rsidRPr="727BFE15">
              <w:rPr>
                <w:rFonts w:eastAsia="Times New Roman" w:cs="Calibri"/>
                <w:color w:val="000000"/>
              </w:rPr>
              <w:t xml:space="preserve">Total </w:t>
            </w:r>
            <w:r w:rsidR="3EB2BD36" w:rsidRPr="727BFE15">
              <w:rPr>
                <w:rFonts w:eastAsia="Times New Roman" w:cs="Calibri"/>
                <w:color w:val="000000"/>
              </w:rPr>
              <w:t>l</w:t>
            </w:r>
            <w:r w:rsidRPr="727BFE15">
              <w:rPr>
                <w:rFonts w:eastAsia="Times New Roman" w:cs="Calibri"/>
                <w:color w:val="000000"/>
              </w:rPr>
              <w:t xml:space="preserve">evelized </w:t>
            </w:r>
            <w:r w:rsidR="3EB2BD36" w:rsidRPr="727BFE15">
              <w:rPr>
                <w:rFonts w:eastAsia="Times New Roman" w:cs="Calibri"/>
                <w:color w:val="000000"/>
              </w:rPr>
              <w:t>v</w:t>
            </w:r>
            <w:r w:rsidRPr="727BFE15">
              <w:rPr>
                <w:rFonts w:eastAsia="Times New Roman" w:cs="Calibri"/>
                <w:color w:val="000000"/>
              </w:rPr>
              <w:t>alue</w:t>
            </w:r>
          </w:p>
        </w:tc>
        <w:tc>
          <w:tcPr>
            <w:tcW w:w="4050" w:type="dxa"/>
            <w:hideMark/>
          </w:tcPr>
          <w:p w14:paraId="1799B724" w14:textId="25DDE8CD" w:rsidR="0060156F" w:rsidRPr="00FF62ED" w:rsidRDefault="55C7D2C0" w:rsidP="727BFE15">
            <w:pPr>
              <w:spacing w:before="0" w:after="0" w:line="240" w:lineRule="auto"/>
              <w:jc w:val="center"/>
              <w:rPr>
                <w:rFonts w:ascii="Palatino Linotype" w:eastAsia="Palatino Linotype" w:hAnsi="Palatino Linotype"/>
                <w:color w:val="141414"/>
              </w:rPr>
            </w:pPr>
            <w:r w:rsidRPr="727BFE15">
              <w:rPr>
                <w:rFonts w:eastAsia="Times New Roman" w:cs="Calibri"/>
                <w:color w:val="000000"/>
              </w:rPr>
              <w:t xml:space="preserve">Load </w:t>
            </w:r>
            <w:r w:rsidR="3EB2BD36" w:rsidRPr="727BFE15">
              <w:rPr>
                <w:rFonts w:eastAsia="Times New Roman" w:cs="Calibri"/>
                <w:color w:val="000000"/>
              </w:rPr>
              <w:t>b</w:t>
            </w:r>
            <w:r w:rsidRPr="727BFE15">
              <w:rPr>
                <w:rFonts w:eastAsia="Times New Roman" w:cs="Calibri"/>
                <w:color w:val="000000"/>
              </w:rPr>
              <w:t xml:space="preserve">uilding </w:t>
            </w:r>
            <w:r w:rsidR="3EB2BD36" w:rsidRPr="727BFE15">
              <w:rPr>
                <w:rFonts w:eastAsia="Times New Roman" w:cs="Calibri"/>
                <w:color w:val="000000"/>
              </w:rPr>
              <w:t>m</w:t>
            </w:r>
            <w:r w:rsidRPr="727BFE15">
              <w:rPr>
                <w:rFonts w:eastAsia="Times New Roman" w:cs="Calibri"/>
                <w:color w:val="000000"/>
              </w:rPr>
              <w:t xml:space="preserve">arginal </w:t>
            </w:r>
            <w:r w:rsidR="3EB2BD36" w:rsidRPr="727BFE15">
              <w:rPr>
                <w:rFonts w:eastAsia="Times New Roman" w:cs="Calibri"/>
                <w:color w:val="000000"/>
              </w:rPr>
              <w:t>c</w:t>
            </w:r>
            <w:r w:rsidRPr="727BFE15">
              <w:rPr>
                <w:rFonts w:eastAsia="Times New Roman" w:cs="Calibri"/>
                <w:color w:val="000000"/>
              </w:rPr>
              <w:t>ost ($</w:t>
            </w:r>
            <w:r w:rsidR="3EB2BD36" w:rsidRPr="727BFE15">
              <w:rPr>
                <w:rFonts w:eastAsia="Times New Roman" w:cs="Calibri"/>
                <w:color w:val="000000"/>
              </w:rPr>
              <w:t xml:space="preserve"> </w:t>
            </w:r>
            <w:r w:rsidRPr="727BFE15">
              <w:rPr>
                <w:rFonts w:eastAsia="Times New Roman" w:cs="Calibri"/>
                <w:color w:val="000000"/>
              </w:rPr>
              <w:t>/</w:t>
            </w:r>
            <w:r w:rsidR="3EB2BD36" w:rsidRPr="727BFE15">
              <w:rPr>
                <w:rFonts w:eastAsia="Times New Roman" w:cs="Calibri"/>
                <w:color w:val="000000"/>
              </w:rPr>
              <w:t xml:space="preserve"> </w:t>
            </w:r>
            <w:r w:rsidRPr="727BFE15">
              <w:rPr>
                <w:rFonts w:eastAsia="Times New Roman" w:cs="Calibri"/>
                <w:color w:val="000000"/>
              </w:rPr>
              <w:t>kWh)</w:t>
            </w:r>
          </w:p>
        </w:tc>
      </w:tr>
      <w:tr w:rsidR="0060156F" w:rsidRPr="0060156F" w14:paraId="5D2954FE" w14:textId="77777777" w:rsidTr="00226847">
        <w:trPr>
          <w:cnfStyle w:val="000000100000" w:firstRow="0" w:lastRow="0" w:firstColumn="0" w:lastColumn="0" w:oddVBand="0" w:evenVBand="0" w:oddHBand="1" w:evenHBand="0" w:firstRowFirstColumn="0" w:firstRowLastColumn="0" w:lastRowFirstColumn="0" w:lastRowLastColumn="0"/>
          <w:trHeight w:val="300"/>
        </w:trPr>
        <w:tc>
          <w:tcPr>
            <w:tcW w:w="843" w:type="dxa"/>
            <w:noWrap/>
            <w:hideMark/>
          </w:tcPr>
          <w:p w14:paraId="2CEE01D0" w14:textId="77777777" w:rsidR="0060156F" w:rsidRPr="00FF62ED" w:rsidRDefault="0060156F" w:rsidP="0060156F">
            <w:pPr>
              <w:spacing w:before="0" w:after="0" w:line="240" w:lineRule="auto"/>
              <w:jc w:val="center"/>
              <w:rPr>
                <w:rFonts w:eastAsia="Times New Roman" w:cs="Calibri"/>
                <w:color w:val="auto"/>
              </w:rPr>
            </w:pPr>
            <w:r w:rsidRPr="00FF62ED">
              <w:rPr>
                <w:rFonts w:eastAsia="Times New Roman" w:cs="Calibri"/>
                <w:color w:val="auto"/>
              </w:rPr>
              <w:t>1</w:t>
            </w:r>
          </w:p>
        </w:tc>
        <w:tc>
          <w:tcPr>
            <w:tcW w:w="2212" w:type="dxa"/>
            <w:noWrap/>
            <w:hideMark/>
          </w:tcPr>
          <w:p w14:paraId="41C846D4" w14:textId="17055532" w:rsidR="0060156F" w:rsidRPr="00FF62ED" w:rsidRDefault="55C7D2C0" w:rsidP="0060156F">
            <w:pPr>
              <w:spacing w:before="0" w:after="0" w:line="240" w:lineRule="auto"/>
              <w:rPr>
                <w:rFonts w:eastAsia="Times New Roman" w:cs="Calibri"/>
                <w:color w:val="auto"/>
              </w:rPr>
            </w:pPr>
            <w:r w:rsidRPr="727BFE15">
              <w:rPr>
                <w:rFonts w:eastAsia="Times New Roman" w:cs="Calibri"/>
                <w:color w:val="auto"/>
              </w:rPr>
              <w:t xml:space="preserve">Summer </w:t>
            </w:r>
            <w:r w:rsidR="3EB2BD36" w:rsidRPr="727BFE15">
              <w:rPr>
                <w:rFonts w:eastAsia="Times New Roman" w:cs="Calibri"/>
                <w:color w:val="auto"/>
              </w:rPr>
              <w:t>p</w:t>
            </w:r>
            <w:r w:rsidRPr="727BFE15">
              <w:rPr>
                <w:rFonts w:eastAsia="Times New Roman" w:cs="Calibri"/>
                <w:color w:val="auto"/>
              </w:rPr>
              <w:t>eak</w:t>
            </w:r>
          </w:p>
        </w:tc>
        <w:tc>
          <w:tcPr>
            <w:tcW w:w="2430" w:type="dxa"/>
            <w:noWrap/>
            <w:hideMark/>
          </w:tcPr>
          <w:p w14:paraId="3B520AAF"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$75.72</w:t>
            </w:r>
          </w:p>
        </w:tc>
        <w:tc>
          <w:tcPr>
            <w:tcW w:w="4050" w:type="dxa"/>
            <w:noWrap/>
            <w:hideMark/>
          </w:tcPr>
          <w:p w14:paraId="5570A2FB"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$0.076</w:t>
            </w:r>
          </w:p>
        </w:tc>
      </w:tr>
      <w:tr w:rsidR="0060156F" w:rsidRPr="0060156F" w14:paraId="095C399B" w14:textId="77777777" w:rsidTr="00226847">
        <w:trPr>
          <w:trHeight w:val="288"/>
        </w:trPr>
        <w:tc>
          <w:tcPr>
            <w:tcW w:w="843" w:type="dxa"/>
            <w:noWrap/>
            <w:hideMark/>
          </w:tcPr>
          <w:p w14:paraId="15AE7E00" w14:textId="77777777" w:rsidR="0060156F" w:rsidRPr="00FF62ED" w:rsidRDefault="0060156F" w:rsidP="0060156F">
            <w:pPr>
              <w:spacing w:before="0" w:after="0" w:line="240" w:lineRule="auto"/>
              <w:jc w:val="center"/>
              <w:rPr>
                <w:rFonts w:eastAsia="Times New Roman" w:cs="Calibri"/>
                <w:color w:val="auto"/>
              </w:rPr>
            </w:pPr>
            <w:r w:rsidRPr="00FF62ED">
              <w:rPr>
                <w:rFonts w:eastAsia="Times New Roman" w:cs="Calibri"/>
                <w:color w:val="auto"/>
              </w:rPr>
              <w:t>2</w:t>
            </w:r>
          </w:p>
        </w:tc>
        <w:tc>
          <w:tcPr>
            <w:tcW w:w="2212" w:type="dxa"/>
            <w:noWrap/>
            <w:hideMark/>
          </w:tcPr>
          <w:p w14:paraId="622484CA" w14:textId="276A00F5" w:rsidR="0060156F" w:rsidRPr="00FF62ED" w:rsidRDefault="55C7D2C0" w:rsidP="0060156F">
            <w:pPr>
              <w:spacing w:before="0" w:after="0" w:line="240" w:lineRule="auto"/>
              <w:rPr>
                <w:rFonts w:eastAsia="Times New Roman" w:cs="Calibri"/>
                <w:color w:val="auto"/>
              </w:rPr>
            </w:pPr>
            <w:r w:rsidRPr="727BFE15">
              <w:rPr>
                <w:rFonts w:eastAsia="Times New Roman" w:cs="Calibri"/>
                <w:color w:val="auto"/>
              </w:rPr>
              <w:t xml:space="preserve">Summer </w:t>
            </w:r>
            <w:r w:rsidR="3EB2BD36" w:rsidRPr="727BFE15">
              <w:rPr>
                <w:rFonts w:eastAsia="Times New Roman" w:cs="Calibri"/>
                <w:color w:val="auto"/>
              </w:rPr>
              <w:t>s</w:t>
            </w:r>
            <w:r w:rsidRPr="727BFE15">
              <w:rPr>
                <w:rFonts w:eastAsia="Times New Roman" w:cs="Calibri"/>
                <w:color w:val="auto"/>
              </w:rPr>
              <w:t>houlder</w:t>
            </w:r>
          </w:p>
        </w:tc>
        <w:tc>
          <w:tcPr>
            <w:tcW w:w="2430" w:type="dxa"/>
            <w:noWrap/>
            <w:hideMark/>
          </w:tcPr>
          <w:p w14:paraId="2E071B77"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$178.28</w:t>
            </w:r>
          </w:p>
        </w:tc>
        <w:tc>
          <w:tcPr>
            <w:tcW w:w="4050" w:type="dxa"/>
            <w:noWrap/>
            <w:hideMark/>
          </w:tcPr>
          <w:p w14:paraId="61B57527"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$0.178</w:t>
            </w:r>
          </w:p>
        </w:tc>
      </w:tr>
      <w:tr w:rsidR="0060156F" w:rsidRPr="0060156F" w14:paraId="4DAFA59F" w14:textId="77777777" w:rsidTr="00226847">
        <w:trPr>
          <w:cnfStyle w:val="000000100000" w:firstRow="0" w:lastRow="0" w:firstColumn="0" w:lastColumn="0" w:oddVBand="0" w:evenVBand="0" w:oddHBand="1" w:evenHBand="0" w:firstRowFirstColumn="0" w:firstRowLastColumn="0" w:lastRowFirstColumn="0" w:lastRowLastColumn="0"/>
          <w:trHeight w:val="288"/>
        </w:trPr>
        <w:tc>
          <w:tcPr>
            <w:tcW w:w="843" w:type="dxa"/>
            <w:noWrap/>
            <w:hideMark/>
          </w:tcPr>
          <w:p w14:paraId="321A9A05" w14:textId="77777777" w:rsidR="0060156F" w:rsidRPr="00FF62ED" w:rsidRDefault="0060156F" w:rsidP="0060156F">
            <w:pPr>
              <w:spacing w:before="0" w:after="0" w:line="240" w:lineRule="auto"/>
              <w:jc w:val="center"/>
              <w:rPr>
                <w:rFonts w:eastAsia="Times New Roman" w:cs="Calibri"/>
                <w:color w:val="auto"/>
              </w:rPr>
            </w:pPr>
            <w:r w:rsidRPr="00FF62ED">
              <w:rPr>
                <w:rFonts w:eastAsia="Times New Roman" w:cs="Calibri"/>
                <w:color w:val="auto"/>
              </w:rPr>
              <w:t>3</w:t>
            </w:r>
          </w:p>
        </w:tc>
        <w:tc>
          <w:tcPr>
            <w:tcW w:w="2212" w:type="dxa"/>
            <w:noWrap/>
            <w:hideMark/>
          </w:tcPr>
          <w:p w14:paraId="419379D3" w14:textId="4107EF38" w:rsidR="0060156F" w:rsidRPr="00FF62ED" w:rsidRDefault="55C7D2C0" w:rsidP="0060156F">
            <w:pPr>
              <w:spacing w:before="0" w:after="0" w:line="240" w:lineRule="auto"/>
              <w:rPr>
                <w:rFonts w:eastAsia="Times New Roman" w:cs="Calibri"/>
                <w:color w:val="auto"/>
              </w:rPr>
            </w:pPr>
            <w:r w:rsidRPr="727BFE15">
              <w:rPr>
                <w:rFonts w:eastAsia="Times New Roman" w:cs="Calibri"/>
                <w:color w:val="auto"/>
              </w:rPr>
              <w:t xml:space="preserve">Summer </w:t>
            </w:r>
            <w:r w:rsidR="3EB2BD36" w:rsidRPr="727BFE15">
              <w:rPr>
                <w:rFonts w:eastAsia="Times New Roman" w:cs="Calibri"/>
                <w:color w:val="auto"/>
              </w:rPr>
              <w:t>o</w:t>
            </w:r>
            <w:r w:rsidRPr="727BFE15">
              <w:rPr>
                <w:rFonts w:eastAsia="Times New Roman" w:cs="Calibri"/>
                <w:color w:val="auto"/>
              </w:rPr>
              <w:t>ff-</w:t>
            </w:r>
            <w:r w:rsidR="3EB2BD36" w:rsidRPr="727BFE15">
              <w:rPr>
                <w:rFonts w:eastAsia="Times New Roman" w:cs="Calibri"/>
                <w:color w:val="auto"/>
              </w:rPr>
              <w:t>p</w:t>
            </w:r>
            <w:r w:rsidRPr="727BFE15">
              <w:rPr>
                <w:rFonts w:eastAsia="Times New Roman" w:cs="Calibri"/>
                <w:color w:val="auto"/>
              </w:rPr>
              <w:t>eak</w:t>
            </w:r>
          </w:p>
        </w:tc>
        <w:tc>
          <w:tcPr>
            <w:tcW w:w="2430" w:type="dxa"/>
            <w:noWrap/>
            <w:hideMark/>
          </w:tcPr>
          <w:p w14:paraId="51B55C7B"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$46.48</w:t>
            </w:r>
          </w:p>
        </w:tc>
        <w:tc>
          <w:tcPr>
            <w:tcW w:w="4050" w:type="dxa"/>
            <w:noWrap/>
            <w:hideMark/>
          </w:tcPr>
          <w:p w14:paraId="35A9C9CE"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$0.046</w:t>
            </w:r>
          </w:p>
        </w:tc>
      </w:tr>
      <w:tr w:rsidR="0060156F" w:rsidRPr="0060156F" w14:paraId="68B5B558" w14:textId="77777777" w:rsidTr="00226847">
        <w:trPr>
          <w:trHeight w:val="288"/>
        </w:trPr>
        <w:tc>
          <w:tcPr>
            <w:tcW w:w="843" w:type="dxa"/>
            <w:noWrap/>
            <w:hideMark/>
          </w:tcPr>
          <w:p w14:paraId="6671B108" w14:textId="77777777" w:rsidR="0060156F" w:rsidRPr="00FF62ED" w:rsidRDefault="0060156F" w:rsidP="0060156F">
            <w:pPr>
              <w:spacing w:before="0" w:after="0" w:line="240" w:lineRule="auto"/>
              <w:jc w:val="center"/>
              <w:rPr>
                <w:rFonts w:eastAsia="Times New Roman" w:cs="Calibri"/>
                <w:color w:val="auto"/>
              </w:rPr>
            </w:pPr>
            <w:r w:rsidRPr="00FF62ED">
              <w:rPr>
                <w:rFonts w:eastAsia="Times New Roman" w:cs="Calibri"/>
                <w:color w:val="auto"/>
              </w:rPr>
              <w:t>4</w:t>
            </w:r>
          </w:p>
        </w:tc>
        <w:tc>
          <w:tcPr>
            <w:tcW w:w="2212" w:type="dxa"/>
            <w:noWrap/>
            <w:hideMark/>
          </w:tcPr>
          <w:p w14:paraId="32A16BCE" w14:textId="5723DF81" w:rsidR="0060156F" w:rsidRPr="00FF62ED" w:rsidRDefault="55C7D2C0" w:rsidP="0060156F">
            <w:pPr>
              <w:spacing w:before="0" w:after="0" w:line="240" w:lineRule="auto"/>
              <w:rPr>
                <w:rFonts w:eastAsia="Times New Roman" w:cs="Calibri"/>
                <w:color w:val="auto"/>
              </w:rPr>
            </w:pPr>
            <w:r w:rsidRPr="727BFE15">
              <w:rPr>
                <w:rFonts w:eastAsia="Times New Roman" w:cs="Calibri"/>
                <w:color w:val="auto"/>
              </w:rPr>
              <w:t xml:space="preserve">Winter </w:t>
            </w:r>
            <w:r w:rsidR="3EB2BD36" w:rsidRPr="727BFE15">
              <w:rPr>
                <w:rFonts w:eastAsia="Times New Roman" w:cs="Calibri"/>
                <w:color w:val="auto"/>
              </w:rPr>
              <w:t>p</w:t>
            </w:r>
            <w:r w:rsidRPr="727BFE15">
              <w:rPr>
                <w:rFonts w:eastAsia="Times New Roman" w:cs="Calibri"/>
                <w:color w:val="auto"/>
              </w:rPr>
              <w:t>eak</w:t>
            </w:r>
          </w:p>
        </w:tc>
        <w:tc>
          <w:tcPr>
            <w:tcW w:w="2430" w:type="dxa"/>
            <w:noWrap/>
            <w:hideMark/>
          </w:tcPr>
          <w:p w14:paraId="75B186E3"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$0.00</w:t>
            </w:r>
          </w:p>
        </w:tc>
        <w:tc>
          <w:tcPr>
            <w:tcW w:w="4050" w:type="dxa"/>
            <w:noWrap/>
            <w:hideMark/>
          </w:tcPr>
          <w:p w14:paraId="3690B67D"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$0.000</w:t>
            </w:r>
          </w:p>
        </w:tc>
      </w:tr>
      <w:tr w:rsidR="0060156F" w:rsidRPr="0060156F" w14:paraId="3DE538B6" w14:textId="77777777" w:rsidTr="00226847">
        <w:trPr>
          <w:cnfStyle w:val="000000100000" w:firstRow="0" w:lastRow="0" w:firstColumn="0" w:lastColumn="0" w:oddVBand="0" w:evenVBand="0" w:oddHBand="1" w:evenHBand="0" w:firstRowFirstColumn="0" w:firstRowLastColumn="0" w:lastRowFirstColumn="0" w:lastRowLastColumn="0"/>
          <w:trHeight w:val="288"/>
        </w:trPr>
        <w:tc>
          <w:tcPr>
            <w:tcW w:w="843" w:type="dxa"/>
            <w:noWrap/>
            <w:hideMark/>
          </w:tcPr>
          <w:p w14:paraId="1DFAEC4E" w14:textId="77777777" w:rsidR="0060156F" w:rsidRPr="00FF62ED" w:rsidRDefault="0060156F" w:rsidP="0060156F">
            <w:pPr>
              <w:spacing w:before="0" w:after="0" w:line="240" w:lineRule="auto"/>
              <w:jc w:val="center"/>
              <w:rPr>
                <w:rFonts w:eastAsia="Times New Roman" w:cs="Calibri"/>
                <w:color w:val="auto"/>
              </w:rPr>
            </w:pPr>
            <w:r w:rsidRPr="00FF62ED">
              <w:rPr>
                <w:rFonts w:eastAsia="Times New Roman" w:cs="Calibri"/>
                <w:color w:val="auto"/>
              </w:rPr>
              <w:t>5</w:t>
            </w:r>
          </w:p>
        </w:tc>
        <w:tc>
          <w:tcPr>
            <w:tcW w:w="2212" w:type="dxa"/>
            <w:noWrap/>
            <w:hideMark/>
          </w:tcPr>
          <w:p w14:paraId="3E481F10" w14:textId="4E7547A7" w:rsidR="0060156F" w:rsidRPr="00FF62ED" w:rsidRDefault="55C7D2C0" w:rsidP="0060156F">
            <w:pPr>
              <w:spacing w:before="0" w:after="0" w:line="240" w:lineRule="auto"/>
              <w:rPr>
                <w:rFonts w:eastAsia="Times New Roman" w:cs="Calibri"/>
                <w:color w:val="auto"/>
              </w:rPr>
            </w:pPr>
            <w:r w:rsidRPr="727BFE15">
              <w:rPr>
                <w:rFonts w:eastAsia="Times New Roman" w:cs="Calibri"/>
                <w:color w:val="auto"/>
              </w:rPr>
              <w:t xml:space="preserve">Winter </w:t>
            </w:r>
            <w:r w:rsidR="3EB2BD36" w:rsidRPr="727BFE15">
              <w:rPr>
                <w:rFonts w:eastAsia="Times New Roman" w:cs="Calibri"/>
                <w:color w:val="auto"/>
              </w:rPr>
              <w:t>s</w:t>
            </w:r>
            <w:r w:rsidRPr="727BFE15">
              <w:rPr>
                <w:rFonts w:eastAsia="Times New Roman" w:cs="Calibri"/>
                <w:color w:val="auto"/>
              </w:rPr>
              <w:t>houlder</w:t>
            </w:r>
          </w:p>
        </w:tc>
        <w:tc>
          <w:tcPr>
            <w:tcW w:w="2430" w:type="dxa"/>
            <w:noWrap/>
            <w:hideMark/>
          </w:tcPr>
          <w:p w14:paraId="6FDC8186"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$57.14</w:t>
            </w:r>
          </w:p>
        </w:tc>
        <w:tc>
          <w:tcPr>
            <w:tcW w:w="4050" w:type="dxa"/>
            <w:noWrap/>
            <w:hideMark/>
          </w:tcPr>
          <w:p w14:paraId="7961F447"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$0.057</w:t>
            </w:r>
          </w:p>
        </w:tc>
      </w:tr>
      <w:tr w:rsidR="0060156F" w:rsidRPr="0060156F" w14:paraId="0EF4668A" w14:textId="77777777" w:rsidTr="00226847">
        <w:trPr>
          <w:trHeight w:val="288"/>
        </w:trPr>
        <w:tc>
          <w:tcPr>
            <w:tcW w:w="843" w:type="dxa"/>
            <w:noWrap/>
            <w:hideMark/>
          </w:tcPr>
          <w:p w14:paraId="1DBD6DC5" w14:textId="77777777" w:rsidR="0060156F" w:rsidRPr="00FF62ED" w:rsidRDefault="0060156F" w:rsidP="0060156F">
            <w:pPr>
              <w:spacing w:before="0" w:after="0" w:line="240" w:lineRule="auto"/>
              <w:jc w:val="center"/>
              <w:rPr>
                <w:rFonts w:eastAsia="Times New Roman" w:cs="Calibri"/>
                <w:color w:val="auto"/>
              </w:rPr>
            </w:pPr>
            <w:r w:rsidRPr="00FF62ED">
              <w:rPr>
                <w:rFonts w:eastAsia="Times New Roman" w:cs="Calibri"/>
                <w:color w:val="auto"/>
              </w:rPr>
              <w:t>6</w:t>
            </w:r>
          </w:p>
        </w:tc>
        <w:tc>
          <w:tcPr>
            <w:tcW w:w="2212" w:type="dxa"/>
            <w:noWrap/>
            <w:hideMark/>
          </w:tcPr>
          <w:p w14:paraId="0728D545" w14:textId="4B0E532A" w:rsidR="0060156F" w:rsidRPr="00FF62ED" w:rsidRDefault="55C7D2C0" w:rsidP="0060156F">
            <w:pPr>
              <w:spacing w:before="0" w:after="0" w:line="240" w:lineRule="auto"/>
              <w:rPr>
                <w:rFonts w:eastAsia="Times New Roman" w:cs="Calibri"/>
                <w:color w:val="auto"/>
              </w:rPr>
            </w:pPr>
            <w:r w:rsidRPr="727BFE15">
              <w:rPr>
                <w:rFonts w:eastAsia="Times New Roman" w:cs="Calibri"/>
                <w:color w:val="auto"/>
              </w:rPr>
              <w:t xml:space="preserve">Winter </w:t>
            </w:r>
            <w:r w:rsidR="3EB2BD36" w:rsidRPr="727BFE15">
              <w:rPr>
                <w:rFonts w:eastAsia="Times New Roman" w:cs="Calibri"/>
                <w:color w:val="auto"/>
              </w:rPr>
              <w:t>o</w:t>
            </w:r>
            <w:r w:rsidRPr="727BFE15">
              <w:rPr>
                <w:rFonts w:eastAsia="Times New Roman" w:cs="Calibri"/>
                <w:color w:val="auto"/>
              </w:rPr>
              <w:t>ff-</w:t>
            </w:r>
            <w:r w:rsidR="3EB2BD36" w:rsidRPr="727BFE15">
              <w:rPr>
                <w:rFonts w:eastAsia="Times New Roman" w:cs="Calibri"/>
                <w:color w:val="auto"/>
              </w:rPr>
              <w:t>p</w:t>
            </w:r>
            <w:r w:rsidRPr="727BFE15">
              <w:rPr>
                <w:rFonts w:eastAsia="Times New Roman" w:cs="Calibri"/>
                <w:color w:val="auto"/>
              </w:rPr>
              <w:t>eak</w:t>
            </w:r>
          </w:p>
        </w:tc>
        <w:tc>
          <w:tcPr>
            <w:tcW w:w="2430" w:type="dxa"/>
            <w:noWrap/>
            <w:hideMark/>
          </w:tcPr>
          <w:p w14:paraId="448A5C1B"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$40.10</w:t>
            </w:r>
          </w:p>
        </w:tc>
        <w:tc>
          <w:tcPr>
            <w:tcW w:w="4050" w:type="dxa"/>
            <w:noWrap/>
            <w:hideMark/>
          </w:tcPr>
          <w:p w14:paraId="0AFC5FD0" w14:textId="77777777" w:rsidR="0060156F" w:rsidRPr="00FF62ED" w:rsidRDefault="0060156F" w:rsidP="0060156F">
            <w:pPr>
              <w:spacing w:before="0" w:after="0" w:line="240" w:lineRule="auto"/>
              <w:jc w:val="right"/>
              <w:rPr>
                <w:rFonts w:eastAsia="Times New Roman" w:cs="Calibri"/>
                <w:color w:val="000000"/>
              </w:rPr>
            </w:pPr>
            <w:r w:rsidRPr="00FF62ED">
              <w:rPr>
                <w:rFonts w:eastAsia="Times New Roman" w:cs="Calibri"/>
                <w:color w:val="000000"/>
              </w:rPr>
              <w:t>$0.040</w:t>
            </w:r>
          </w:p>
        </w:tc>
      </w:tr>
    </w:tbl>
    <w:p w14:paraId="6117C366" w14:textId="4B50745F" w:rsidR="00B408E6" w:rsidRDefault="00B408E6"/>
    <w:p w14:paraId="688D3BEC" w14:textId="671D58BD" w:rsidR="00EE26A2" w:rsidRDefault="0BDA9ED3">
      <w:r>
        <w:t>A new TOB-specific electrification rate</w:t>
      </w:r>
      <w:r w:rsidR="55125CC5">
        <w:t xml:space="preserve"> would thus incorporate a pricing structure substantially similar to </w:t>
      </w:r>
      <w:r w:rsidR="3EB2BD36">
        <w:t xml:space="preserve">that presented in </w:t>
      </w:r>
      <w:r w:rsidR="3EB2BD36" w:rsidRPr="727BFE15">
        <w:rPr>
          <w:b/>
          <w:bCs/>
        </w:rPr>
        <w:t>Table 8</w:t>
      </w:r>
      <w:r w:rsidR="3EB2BD36">
        <w:t>.</w:t>
      </w:r>
    </w:p>
    <w:p w14:paraId="45266FE3" w14:textId="76299BC1" w:rsidR="00C95D3A" w:rsidRPr="00E44037" w:rsidRDefault="55125CC5" w:rsidP="00C95D3A">
      <w:pPr>
        <w:rPr>
          <w:b/>
          <w:bCs/>
        </w:rPr>
      </w:pPr>
      <w:r w:rsidRPr="727BFE15">
        <w:rPr>
          <w:b/>
          <w:bCs/>
        </w:rPr>
        <w:t xml:space="preserve">Table </w:t>
      </w:r>
      <w:r w:rsidR="3EB2BD36" w:rsidRPr="727BFE15">
        <w:rPr>
          <w:b/>
          <w:bCs/>
        </w:rPr>
        <w:t>8</w:t>
      </w:r>
      <w:r w:rsidRPr="727BFE15">
        <w:rPr>
          <w:b/>
          <w:bCs/>
        </w:rPr>
        <w:t xml:space="preserve">. Proposed </w:t>
      </w:r>
      <w:r w:rsidR="3EB2BD36" w:rsidRPr="727BFE15">
        <w:rPr>
          <w:b/>
          <w:bCs/>
        </w:rPr>
        <w:t>e</w:t>
      </w:r>
      <w:r w:rsidRPr="727BFE15">
        <w:rPr>
          <w:b/>
          <w:bCs/>
        </w:rPr>
        <w:t xml:space="preserve">lectrification </w:t>
      </w:r>
      <w:r w:rsidR="3EB2BD36" w:rsidRPr="727BFE15">
        <w:rPr>
          <w:b/>
          <w:bCs/>
        </w:rPr>
        <w:t>r</w:t>
      </w:r>
      <w:r w:rsidRPr="727BFE15">
        <w:rPr>
          <w:b/>
          <w:bCs/>
        </w:rPr>
        <w:t>ate</w:t>
      </w:r>
      <w:r w:rsidR="680CB583" w:rsidRPr="727BFE15">
        <w:rPr>
          <w:b/>
          <w:bCs/>
        </w:rPr>
        <w:t xml:space="preserve"> in </w:t>
      </w:r>
      <w:r w:rsidR="3EB2BD36" w:rsidRPr="727BFE15">
        <w:rPr>
          <w:b/>
          <w:bCs/>
        </w:rPr>
        <w:t>c</w:t>
      </w:r>
      <w:r w:rsidR="680CB583" w:rsidRPr="727BFE15">
        <w:rPr>
          <w:b/>
          <w:bCs/>
        </w:rPr>
        <w:t>onjunction with E-TOB</w:t>
      </w:r>
    </w:p>
    <w:tbl>
      <w:tblPr>
        <w:tblStyle w:val="GridTable4-Accent1"/>
        <w:tblW w:w="9535" w:type="dxa"/>
        <w:tblLook w:val="04A0" w:firstRow="1" w:lastRow="0" w:firstColumn="1" w:lastColumn="0" w:noHBand="0" w:noVBand="1"/>
      </w:tblPr>
      <w:tblGrid>
        <w:gridCol w:w="4675"/>
        <w:gridCol w:w="2340"/>
        <w:gridCol w:w="2520"/>
      </w:tblGrid>
      <w:tr w:rsidR="00776A7E" w:rsidRPr="005015C7" w14:paraId="738C24CD" w14:textId="6CA1DEF9" w:rsidTr="0022684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E9F386B" w14:textId="73608F46" w:rsidR="00776A7E" w:rsidRPr="005015C7" w:rsidRDefault="680CB583" w:rsidP="00E62EBE">
            <w:r>
              <w:t xml:space="preserve">E-ELEC </w:t>
            </w:r>
            <w:r w:rsidR="3EB2BD36">
              <w:t>r</w:t>
            </w:r>
            <w:r>
              <w:t xml:space="preserve">ate </w:t>
            </w:r>
            <w:r w:rsidR="3EB2BD36">
              <w:t>c</w:t>
            </w:r>
            <w:r>
              <w:t>omponent</w:t>
            </w:r>
          </w:p>
        </w:tc>
        <w:tc>
          <w:tcPr>
            <w:tcW w:w="2340" w:type="dxa"/>
          </w:tcPr>
          <w:p w14:paraId="6D4462B8" w14:textId="14DBB834" w:rsidR="00776A7E" w:rsidRPr="005015C7" w:rsidRDefault="680CB583" w:rsidP="00E62EBE">
            <w:pPr>
              <w:cnfStyle w:val="100000000000" w:firstRow="1" w:lastRow="0" w:firstColumn="0" w:lastColumn="0" w:oddVBand="0" w:evenVBand="0" w:oddHBand="0" w:evenHBand="0" w:firstRowFirstColumn="0" w:firstRowLastColumn="0" w:lastRowFirstColumn="0" w:lastRowLastColumn="0"/>
            </w:pPr>
            <w:r>
              <w:t xml:space="preserve">Tier 1 </w:t>
            </w:r>
            <w:r w:rsidR="3EB2BD36">
              <w:t>p</w:t>
            </w:r>
            <w:r>
              <w:t>rice</w:t>
            </w:r>
            <w:r w:rsidR="50F92AA5">
              <w:t xml:space="preserve"> ($ / kWh)</w:t>
            </w:r>
          </w:p>
        </w:tc>
        <w:tc>
          <w:tcPr>
            <w:tcW w:w="2520" w:type="dxa"/>
          </w:tcPr>
          <w:p w14:paraId="18F3F683" w14:textId="6E7E8927" w:rsidR="00776A7E" w:rsidRPr="005015C7" w:rsidRDefault="680CB583" w:rsidP="00E62EBE">
            <w:pPr>
              <w:cnfStyle w:val="100000000000" w:firstRow="1" w:lastRow="0" w:firstColumn="0" w:lastColumn="0" w:oddVBand="0" w:evenVBand="0" w:oddHBand="0" w:evenHBand="0" w:firstRowFirstColumn="0" w:firstRowLastColumn="0" w:lastRowFirstColumn="0" w:lastRowLastColumn="0"/>
            </w:pPr>
            <w:r>
              <w:t xml:space="preserve">Tier 2 </w:t>
            </w:r>
            <w:r w:rsidR="3EB2BD36">
              <w:t>p</w:t>
            </w:r>
            <w:r>
              <w:t>rice</w:t>
            </w:r>
            <w:r w:rsidR="50F92AA5">
              <w:t xml:space="preserve"> ($ / kWh)</w:t>
            </w:r>
          </w:p>
        </w:tc>
      </w:tr>
      <w:tr w:rsidR="00776A7E" w:rsidRPr="005015C7" w14:paraId="3FE83000" w14:textId="2A2F81C3" w:rsidTr="00226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BDB1900" w14:textId="54911AEC" w:rsidR="00776A7E" w:rsidRPr="00E1708D" w:rsidRDefault="680CB583" w:rsidP="00776A7E">
            <w:pPr>
              <w:rPr>
                <w:b w:val="0"/>
                <w:bCs w:val="0"/>
              </w:rPr>
            </w:pPr>
            <w:r>
              <w:rPr>
                <w:b w:val="0"/>
                <w:bCs w:val="0"/>
              </w:rPr>
              <w:t xml:space="preserve">Summer </w:t>
            </w:r>
            <w:r w:rsidR="3EB2BD36">
              <w:rPr>
                <w:b w:val="0"/>
                <w:bCs w:val="0"/>
              </w:rPr>
              <w:t>p</w:t>
            </w:r>
            <w:r>
              <w:rPr>
                <w:b w:val="0"/>
                <w:bCs w:val="0"/>
              </w:rPr>
              <w:t>eak (4 pm – 9 pm)</w:t>
            </w:r>
          </w:p>
        </w:tc>
        <w:tc>
          <w:tcPr>
            <w:tcW w:w="4860" w:type="dxa"/>
            <w:gridSpan w:val="2"/>
            <w:vAlign w:val="center"/>
          </w:tcPr>
          <w:p w14:paraId="7B91CF9B" w14:textId="39C97D7A" w:rsidR="00776A7E" w:rsidRPr="005015C7" w:rsidRDefault="00776A7E" w:rsidP="00FF62ED">
            <w:pPr>
              <w:jc w:val="center"/>
              <w:cnfStyle w:val="000000100000" w:firstRow="0" w:lastRow="0" w:firstColumn="0" w:lastColumn="0" w:oddVBand="0" w:evenVBand="0" w:oddHBand="1" w:evenHBand="0" w:firstRowFirstColumn="0" w:firstRowLastColumn="0" w:lastRowFirstColumn="0" w:lastRowLastColumn="0"/>
            </w:pPr>
            <w:r w:rsidRPr="005015C7">
              <w:t>$0.433</w:t>
            </w:r>
          </w:p>
        </w:tc>
      </w:tr>
      <w:tr w:rsidR="00776A7E" w:rsidRPr="005015C7" w14:paraId="26B0703F" w14:textId="742082F4" w:rsidTr="00226847">
        <w:tc>
          <w:tcPr>
            <w:cnfStyle w:val="001000000000" w:firstRow="0" w:lastRow="0" w:firstColumn="1" w:lastColumn="0" w:oddVBand="0" w:evenVBand="0" w:oddHBand="0" w:evenHBand="0" w:firstRowFirstColumn="0" w:firstRowLastColumn="0" w:lastRowFirstColumn="0" w:lastRowLastColumn="0"/>
            <w:tcW w:w="4675" w:type="dxa"/>
          </w:tcPr>
          <w:p w14:paraId="49864558" w14:textId="181D2338" w:rsidR="00776A7E" w:rsidRPr="00E1708D" w:rsidRDefault="680CB583" w:rsidP="00776A7E">
            <w:pPr>
              <w:rPr>
                <w:b w:val="0"/>
                <w:bCs w:val="0"/>
              </w:rPr>
            </w:pPr>
            <w:r>
              <w:rPr>
                <w:b w:val="0"/>
                <w:bCs w:val="0"/>
              </w:rPr>
              <w:t xml:space="preserve">Summer </w:t>
            </w:r>
            <w:r w:rsidR="3EB2BD36">
              <w:rPr>
                <w:b w:val="0"/>
                <w:bCs w:val="0"/>
              </w:rPr>
              <w:t>p</w:t>
            </w:r>
            <w:r>
              <w:rPr>
                <w:b w:val="0"/>
                <w:bCs w:val="0"/>
              </w:rPr>
              <w:t>art-</w:t>
            </w:r>
            <w:r w:rsidR="3EB2BD36">
              <w:rPr>
                <w:b w:val="0"/>
                <w:bCs w:val="0"/>
              </w:rPr>
              <w:t>p</w:t>
            </w:r>
            <w:r>
              <w:rPr>
                <w:b w:val="0"/>
                <w:bCs w:val="0"/>
              </w:rPr>
              <w:t>eak (3 – 4pm, 9 pm – 12 am)</w:t>
            </w:r>
          </w:p>
        </w:tc>
        <w:tc>
          <w:tcPr>
            <w:tcW w:w="2340" w:type="dxa"/>
            <w:vAlign w:val="center"/>
          </w:tcPr>
          <w:p w14:paraId="3F1F168A" w14:textId="1D767A96" w:rsidR="00776A7E" w:rsidRPr="005015C7" w:rsidRDefault="008552BE" w:rsidP="00FF62ED">
            <w:pPr>
              <w:jc w:val="center"/>
              <w:cnfStyle w:val="000000000000" w:firstRow="0" w:lastRow="0" w:firstColumn="0" w:lastColumn="0" w:oddVBand="0" w:evenVBand="0" w:oddHBand="0" w:evenHBand="0" w:firstRowFirstColumn="0" w:firstRowLastColumn="0" w:lastRowFirstColumn="0" w:lastRowLastColumn="0"/>
            </w:pPr>
            <w:r>
              <w:t>$0.178</w:t>
            </w:r>
          </w:p>
        </w:tc>
        <w:tc>
          <w:tcPr>
            <w:tcW w:w="2520" w:type="dxa"/>
            <w:vAlign w:val="center"/>
          </w:tcPr>
          <w:p w14:paraId="1E4CBFC2" w14:textId="3EF9EDC6" w:rsidR="00776A7E" w:rsidRPr="005015C7" w:rsidRDefault="00776A7E" w:rsidP="00FF62ED">
            <w:pPr>
              <w:jc w:val="center"/>
              <w:cnfStyle w:val="000000000000" w:firstRow="0" w:lastRow="0" w:firstColumn="0" w:lastColumn="0" w:oddVBand="0" w:evenVBand="0" w:oddHBand="0" w:evenHBand="0" w:firstRowFirstColumn="0" w:firstRowLastColumn="0" w:lastRowFirstColumn="0" w:lastRowLastColumn="0"/>
            </w:pPr>
            <w:r w:rsidRPr="005015C7">
              <w:t>$0.27</w:t>
            </w:r>
            <w:r w:rsidR="003F3759">
              <w:t>2</w:t>
            </w:r>
          </w:p>
        </w:tc>
      </w:tr>
      <w:tr w:rsidR="00776A7E" w:rsidRPr="005015C7" w14:paraId="5C1286A9" w14:textId="4255FDB4" w:rsidTr="00226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CED8A2" w14:textId="3F96430B" w:rsidR="00776A7E" w:rsidRPr="00E1708D" w:rsidRDefault="680CB583" w:rsidP="00776A7E">
            <w:pPr>
              <w:rPr>
                <w:b w:val="0"/>
                <w:bCs w:val="0"/>
              </w:rPr>
            </w:pPr>
            <w:r>
              <w:rPr>
                <w:b w:val="0"/>
                <w:bCs w:val="0"/>
              </w:rPr>
              <w:t xml:space="preserve">Summer </w:t>
            </w:r>
            <w:r w:rsidR="3EB2BD36">
              <w:rPr>
                <w:b w:val="0"/>
                <w:bCs w:val="0"/>
              </w:rPr>
              <w:t>o</w:t>
            </w:r>
            <w:r>
              <w:rPr>
                <w:b w:val="0"/>
                <w:bCs w:val="0"/>
              </w:rPr>
              <w:t>ff-</w:t>
            </w:r>
            <w:r w:rsidR="3EB2BD36">
              <w:rPr>
                <w:b w:val="0"/>
                <w:bCs w:val="0"/>
              </w:rPr>
              <w:t>p</w:t>
            </w:r>
            <w:r>
              <w:rPr>
                <w:b w:val="0"/>
                <w:bCs w:val="0"/>
              </w:rPr>
              <w:t>eak (12 am – 3 pm)</w:t>
            </w:r>
          </w:p>
        </w:tc>
        <w:tc>
          <w:tcPr>
            <w:tcW w:w="2340" w:type="dxa"/>
            <w:vAlign w:val="center"/>
          </w:tcPr>
          <w:p w14:paraId="6F599E15" w14:textId="48433205" w:rsidR="00776A7E" w:rsidRPr="005015C7" w:rsidRDefault="002D4B8A" w:rsidP="00FF62ED">
            <w:pPr>
              <w:jc w:val="center"/>
              <w:cnfStyle w:val="000000100000" w:firstRow="0" w:lastRow="0" w:firstColumn="0" w:lastColumn="0" w:oddVBand="0" w:evenVBand="0" w:oddHBand="1" w:evenHBand="0" w:firstRowFirstColumn="0" w:firstRowLastColumn="0" w:lastRowFirstColumn="0" w:lastRowLastColumn="0"/>
            </w:pPr>
            <w:r>
              <w:t>$0.046</w:t>
            </w:r>
          </w:p>
        </w:tc>
        <w:tc>
          <w:tcPr>
            <w:tcW w:w="2520" w:type="dxa"/>
            <w:vAlign w:val="center"/>
          </w:tcPr>
          <w:p w14:paraId="77F2AA22" w14:textId="68D05D0D" w:rsidR="00776A7E" w:rsidRPr="005015C7" w:rsidRDefault="00776A7E" w:rsidP="00FF62ED">
            <w:pPr>
              <w:jc w:val="center"/>
              <w:cnfStyle w:val="000000100000" w:firstRow="0" w:lastRow="0" w:firstColumn="0" w:lastColumn="0" w:oddVBand="0" w:evenVBand="0" w:oddHBand="1" w:evenHBand="0" w:firstRowFirstColumn="0" w:firstRowLastColumn="0" w:lastRowFirstColumn="0" w:lastRowLastColumn="0"/>
            </w:pPr>
            <w:r w:rsidRPr="005015C7">
              <w:t>$0.21</w:t>
            </w:r>
            <w:r w:rsidR="003F3759">
              <w:t>5</w:t>
            </w:r>
          </w:p>
        </w:tc>
      </w:tr>
      <w:tr w:rsidR="00776A7E" w:rsidRPr="005015C7" w14:paraId="5552948D" w14:textId="25FEE295" w:rsidTr="00226847">
        <w:tc>
          <w:tcPr>
            <w:cnfStyle w:val="001000000000" w:firstRow="0" w:lastRow="0" w:firstColumn="1" w:lastColumn="0" w:oddVBand="0" w:evenVBand="0" w:oddHBand="0" w:evenHBand="0" w:firstRowFirstColumn="0" w:firstRowLastColumn="0" w:lastRowFirstColumn="0" w:lastRowLastColumn="0"/>
            <w:tcW w:w="4675" w:type="dxa"/>
          </w:tcPr>
          <w:p w14:paraId="4DC4E520" w14:textId="4910EC3D" w:rsidR="00776A7E" w:rsidRPr="00E1708D" w:rsidRDefault="680CB583" w:rsidP="00776A7E">
            <w:pPr>
              <w:rPr>
                <w:b w:val="0"/>
                <w:bCs w:val="0"/>
              </w:rPr>
            </w:pPr>
            <w:r>
              <w:rPr>
                <w:b w:val="0"/>
                <w:bCs w:val="0"/>
              </w:rPr>
              <w:t xml:space="preserve">Winter </w:t>
            </w:r>
            <w:r w:rsidR="3EB2BD36">
              <w:rPr>
                <w:b w:val="0"/>
                <w:bCs w:val="0"/>
              </w:rPr>
              <w:t>p</w:t>
            </w:r>
            <w:r>
              <w:rPr>
                <w:b w:val="0"/>
                <w:bCs w:val="0"/>
              </w:rPr>
              <w:t>eak (4 pm – 9 pm)</w:t>
            </w:r>
          </w:p>
        </w:tc>
        <w:tc>
          <w:tcPr>
            <w:tcW w:w="4860" w:type="dxa"/>
            <w:gridSpan w:val="2"/>
            <w:vAlign w:val="center"/>
          </w:tcPr>
          <w:p w14:paraId="3E4737EF" w14:textId="3C65A7F3" w:rsidR="00776A7E" w:rsidRPr="005015C7" w:rsidRDefault="00776A7E" w:rsidP="00FF62ED">
            <w:pPr>
              <w:jc w:val="center"/>
              <w:cnfStyle w:val="000000000000" w:firstRow="0" w:lastRow="0" w:firstColumn="0" w:lastColumn="0" w:oddVBand="0" w:evenVBand="0" w:oddHBand="0" w:evenHBand="0" w:firstRowFirstColumn="0" w:firstRowLastColumn="0" w:lastRowFirstColumn="0" w:lastRowLastColumn="0"/>
            </w:pPr>
            <w:r w:rsidRPr="005015C7">
              <w:t>$0.240</w:t>
            </w:r>
          </w:p>
        </w:tc>
      </w:tr>
      <w:tr w:rsidR="00776A7E" w:rsidRPr="005015C7" w14:paraId="011D7B35" w14:textId="6D68580D" w:rsidTr="00226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C19BE89" w14:textId="3180E3D8" w:rsidR="00776A7E" w:rsidRPr="00E1708D" w:rsidRDefault="680CB583" w:rsidP="00776A7E">
            <w:pPr>
              <w:rPr>
                <w:b w:val="0"/>
                <w:bCs w:val="0"/>
              </w:rPr>
            </w:pPr>
            <w:r>
              <w:rPr>
                <w:b w:val="0"/>
                <w:bCs w:val="0"/>
              </w:rPr>
              <w:t xml:space="preserve">Winter </w:t>
            </w:r>
            <w:r w:rsidR="3EB2BD36">
              <w:rPr>
                <w:b w:val="0"/>
                <w:bCs w:val="0"/>
              </w:rPr>
              <w:t>p</w:t>
            </w:r>
            <w:r>
              <w:rPr>
                <w:b w:val="0"/>
                <w:bCs w:val="0"/>
              </w:rPr>
              <w:t>art-</w:t>
            </w:r>
            <w:r w:rsidR="3EB2BD36">
              <w:rPr>
                <w:b w:val="0"/>
                <w:bCs w:val="0"/>
              </w:rPr>
              <w:t>p</w:t>
            </w:r>
            <w:r>
              <w:rPr>
                <w:b w:val="0"/>
                <w:bCs w:val="0"/>
              </w:rPr>
              <w:t>eak (3 – 4pm, 9 pm – 12 am)</w:t>
            </w:r>
          </w:p>
        </w:tc>
        <w:tc>
          <w:tcPr>
            <w:tcW w:w="2340" w:type="dxa"/>
            <w:vAlign w:val="center"/>
          </w:tcPr>
          <w:p w14:paraId="62AF7B63" w14:textId="1F9E6350" w:rsidR="00776A7E" w:rsidRPr="005015C7" w:rsidRDefault="002D4B8A" w:rsidP="00FF62ED">
            <w:pPr>
              <w:jc w:val="center"/>
              <w:cnfStyle w:val="000000100000" w:firstRow="0" w:lastRow="0" w:firstColumn="0" w:lastColumn="0" w:oddVBand="0" w:evenVBand="0" w:oddHBand="1" w:evenHBand="0" w:firstRowFirstColumn="0" w:firstRowLastColumn="0" w:lastRowFirstColumn="0" w:lastRowLastColumn="0"/>
            </w:pPr>
            <w:r>
              <w:t>$0.057</w:t>
            </w:r>
          </w:p>
        </w:tc>
        <w:tc>
          <w:tcPr>
            <w:tcW w:w="2520" w:type="dxa"/>
            <w:vAlign w:val="center"/>
          </w:tcPr>
          <w:p w14:paraId="5706CF33" w14:textId="38FF8EA0" w:rsidR="00776A7E" w:rsidRPr="005015C7" w:rsidRDefault="00776A7E" w:rsidP="00FF62ED">
            <w:pPr>
              <w:jc w:val="center"/>
              <w:cnfStyle w:val="000000100000" w:firstRow="0" w:lastRow="0" w:firstColumn="0" w:lastColumn="0" w:oddVBand="0" w:evenVBand="0" w:oddHBand="1" w:evenHBand="0" w:firstRowFirstColumn="0" w:firstRowLastColumn="0" w:lastRowFirstColumn="0" w:lastRowLastColumn="0"/>
            </w:pPr>
            <w:r w:rsidRPr="005015C7">
              <w:t>$0.218</w:t>
            </w:r>
          </w:p>
        </w:tc>
      </w:tr>
      <w:tr w:rsidR="00776A7E" w:rsidRPr="005015C7" w14:paraId="7B95CDEF" w14:textId="582A7918" w:rsidTr="00226847">
        <w:tc>
          <w:tcPr>
            <w:cnfStyle w:val="001000000000" w:firstRow="0" w:lastRow="0" w:firstColumn="1" w:lastColumn="0" w:oddVBand="0" w:evenVBand="0" w:oddHBand="0" w:evenHBand="0" w:firstRowFirstColumn="0" w:firstRowLastColumn="0" w:lastRowFirstColumn="0" w:lastRowLastColumn="0"/>
            <w:tcW w:w="4675" w:type="dxa"/>
          </w:tcPr>
          <w:p w14:paraId="630C457E" w14:textId="63150DA1" w:rsidR="00776A7E" w:rsidRPr="00E1708D" w:rsidRDefault="680CB583" w:rsidP="00776A7E">
            <w:pPr>
              <w:rPr>
                <w:b w:val="0"/>
                <w:bCs w:val="0"/>
              </w:rPr>
            </w:pPr>
            <w:r>
              <w:rPr>
                <w:b w:val="0"/>
                <w:bCs w:val="0"/>
              </w:rPr>
              <w:t xml:space="preserve">Winter </w:t>
            </w:r>
            <w:r w:rsidR="3EB2BD36">
              <w:rPr>
                <w:b w:val="0"/>
                <w:bCs w:val="0"/>
              </w:rPr>
              <w:t>o</w:t>
            </w:r>
            <w:r>
              <w:rPr>
                <w:b w:val="0"/>
                <w:bCs w:val="0"/>
              </w:rPr>
              <w:t>ff-</w:t>
            </w:r>
            <w:r w:rsidR="3EB2BD36">
              <w:rPr>
                <w:b w:val="0"/>
                <w:bCs w:val="0"/>
              </w:rPr>
              <w:t>p</w:t>
            </w:r>
            <w:r>
              <w:rPr>
                <w:b w:val="0"/>
                <w:bCs w:val="0"/>
              </w:rPr>
              <w:t>eak (12 am – 3 pm)</w:t>
            </w:r>
          </w:p>
        </w:tc>
        <w:tc>
          <w:tcPr>
            <w:tcW w:w="2340" w:type="dxa"/>
            <w:vAlign w:val="center"/>
          </w:tcPr>
          <w:p w14:paraId="68D2D72D" w14:textId="18225C94" w:rsidR="00776A7E" w:rsidRPr="005015C7" w:rsidRDefault="002D4B8A" w:rsidP="00FF62ED">
            <w:pPr>
              <w:jc w:val="center"/>
              <w:cnfStyle w:val="000000000000" w:firstRow="0" w:lastRow="0" w:firstColumn="0" w:lastColumn="0" w:oddVBand="0" w:evenVBand="0" w:oddHBand="0" w:evenHBand="0" w:firstRowFirstColumn="0" w:firstRowLastColumn="0" w:lastRowFirstColumn="0" w:lastRowLastColumn="0"/>
            </w:pPr>
            <w:r>
              <w:t>$0.040</w:t>
            </w:r>
          </w:p>
        </w:tc>
        <w:tc>
          <w:tcPr>
            <w:tcW w:w="2520" w:type="dxa"/>
            <w:vAlign w:val="center"/>
          </w:tcPr>
          <w:p w14:paraId="70747EDC" w14:textId="455BEDE3" w:rsidR="00776A7E" w:rsidRPr="005015C7" w:rsidRDefault="00776A7E" w:rsidP="00FF62ED">
            <w:pPr>
              <w:jc w:val="center"/>
              <w:cnfStyle w:val="000000000000" w:firstRow="0" w:lastRow="0" w:firstColumn="0" w:lastColumn="0" w:oddVBand="0" w:evenVBand="0" w:oddHBand="0" w:evenHBand="0" w:firstRowFirstColumn="0" w:firstRowLastColumn="0" w:lastRowFirstColumn="0" w:lastRowLastColumn="0"/>
            </w:pPr>
            <w:r w:rsidRPr="005015C7">
              <w:t>$0.204</w:t>
            </w:r>
          </w:p>
        </w:tc>
      </w:tr>
    </w:tbl>
    <w:p w14:paraId="79C19127" w14:textId="75C57292" w:rsidR="002A25A3" w:rsidRPr="00FF62ED" w:rsidRDefault="00017B13">
      <w:r>
        <w:t>A comparable approach could be applied to develop</w:t>
      </w:r>
      <w:r w:rsidR="00BA0527">
        <w:t xml:space="preserve"> a new electrification tariff for other electric IOUs and other climate zones.</w:t>
      </w:r>
    </w:p>
    <w:p w14:paraId="7BFB9A01" w14:textId="7969EECA" w:rsidR="00861FF6" w:rsidRDefault="00361B80" w:rsidP="00361B80">
      <w:pPr>
        <w:pStyle w:val="Heading3"/>
      </w:pPr>
      <w:r>
        <w:t>Leveraging Private Capital</w:t>
      </w:r>
    </w:p>
    <w:p w14:paraId="54C100A2" w14:textId="77777777" w:rsidR="00963539" w:rsidRPr="00D56F90" w:rsidRDefault="00963539" w:rsidP="00963539">
      <w:pPr>
        <w:rPr>
          <w:rFonts w:eastAsia="Times New Roman"/>
          <w:i/>
          <w:iCs/>
          <w:color w:val="000000"/>
        </w:rPr>
      </w:pPr>
      <w:r w:rsidRPr="727BFE15">
        <w:rPr>
          <w:rFonts w:eastAsia="Times New Roman"/>
          <w:i/>
          <w:iCs/>
          <w:color w:val="000000"/>
        </w:rPr>
        <w:t>From the CPUC:</w:t>
      </w:r>
    </w:p>
    <w:p w14:paraId="2430BEAA" w14:textId="77777777" w:rsidR="00F917C4" w:rsidRPr="00F917C4" w:rsidRDefault="00F917C4" w:rsidP="00F917C4">
      <w:pPr>
        <w:rPr>
          <w:rFonts w:eastAsia="Times New Roman"/>
          <w:i/>
          <w:iCs/>
          <w:color w:val="000000"/>
        </w:rPr>
      </w:pPr>
      <w:r w:rsidRPr="00F917C4">
        <w:rPr>
          <w:rFonts w:eastAsia="Times New Roman"/>
          <w:i/>
          <w:iCs/>
          <w:color w:val="000000"/>
        </w:rPr>
        <w:t>Describe if and how this program will attract private capital in entirety or in addition to using public funds.</w:t>
      </w:r>
    </w:p>
    <w:p w14:paraId="57D898EA" w14:textId="77777777" w:rsidR="00F917C4" w:rsidRDefault="00F917C4" w:rsidP="00F917C4">
      <w:pPr>
        <w:rPr>
          <w:rFonts w:eastAsia="Times New Roman"/>
          <w:i/>
          <w:iCs/>
          <w:color w:val="000000"/>
        </w:rPr>
      </w:pPr>
      <w:r w:rsidRPr="00F917C4">
        <w:rPr>
          <w:rFonts w:eastAsia="Times New Roman"/>
          <w:i/>
          <w:iCs/>
          <w:color w:val="000000"/>
        </w:rPr>
        <w:t>If so, what portion of the program would be covered by private capital when the program launches?</w:t>
      </w:r>
    </w:p>
    <w:p w14:paraId="15F3575A" w14:textId="5D5E85CE" w:rsidR="00C415B5" w:rsidRDefault="5ED665A7" w:rsidP="6A5D419A">
      <w:r>
        <w:t>T</w:t>
      </w:r>
      <w:r w:rsidR="6B199825">
        <w:t xml:space="preserve">he </w:t>
      </w:r>
      <w:r w:rsidR="14D38607">
        <w:t xml:space="preserve">ability to </w:t>
      </w:r>
      <w:r>
        <w:t xml:space="preserve">make use of </w:t>
      </w:r>
      <w:r w:rsidR="14D38607">
        <w:t>third-party capital (including private</w:t>
      </w:r>
      <w:r w:rsidR="0E4D1F9F">
        <w:t xml:space="preserve"> debt and equity investments</w:t>
      </w:r>
      <w:r w:rsidR="14D38607">
        <w:t>,</w:t>
      </w:r>
      <w:r w:rsidR="0E4D1F9F">
        <w:t xml:space="preserve"> plus</w:t>
      </w:r>
      <w:r w:rsidR="14D38607">
        <w:t xml:space="preserve"> state</w:t>
      </w:r>
      <w:r w:rsidR="0E4D1F9F">
        <w:t>-</w:t>
      </w:r>
      <w:r w:rsidR="14D38607">
        <w:t xml:space="preserve"> and federal</w:t>
      </w:r>
      <w:r w:rsidR="0E4D1F9F">
        <w:t xml:space="preserve">-backed loans) hinges critically on the </w:t>
      </w:r>
      <w:r w:rsidR="4D408CAD">
        <w:t>electricity price</w:t>
      </w:r>
      <w:r>
        <w:t>,</w:t>
      </w:r>
      <w:r w:rsidR="4D408CAD">
        <w:t xml:space="preserve"> and thus </w:t>
      </w:r>
      <w:r>
        <w:t xml:space="preserve">on </w:t>
      </w:r>
      <w:r w:rsidR="4D408CAD">
        <w:t xml:space="preserve">the savings that customers can expect to realize via </w:t>
      </w:r>
      <w:r w:rsidR="5B236635">
        <w:t>decarbonization investments.</w:t>
      </w:r>
      <w:r w:rsidR="14D38607">
        <w:t xml:space="preserve"> </w:t>
      </w:r>
      <w:r w:rsidR="5B236635">
        <w:t>Under PG&amp;E’s proposed EV-2 rate, t</w:t>
      </w:r>
      <w:r w:rsidR="7E110DDB">
        <w:t xml:space="preserve">he program forecasts the opportunity to deploy </w:t>
      </w:r>
      <w:r w:rsidR="750F21C8">
        <w:t>up to</w:t>
      </w:r>
      <w:r w:rsidR="7E110DDB">
        <w:t xml:space="preserve"> </w:t>
      </w:r>
      <w:r>
        <w:t>[</w:t>
      </w:r>
      <w:r w:rsidR="7E110DDB">
        <w:t>$</w:t>
      </w:r>
      <w:r>
        <w:t>XX</w:t>
      </w:r>
      <w:r w:rsidR="7E110DDB">
        <w:t xml:space="preserve"> million</w:t>
      </w:r>
      <w:r>
        <w:t>]</w:t>
      </w:r>
      <w:r w:rsidR="7E110DDB">
        <w:t xml:space="preserve"> in private capital over a two-year implementation time frame, </w:t>
      </w:r>
      <w:r w:rsidR="781A8726">
        <w:t xml:space="preserve">of which at least </w:t>
      </w:r>
      <w:r>
        <w:t>[</w:t>
      </w:r>
      <w:r w:rsidR="781A8726">
        <w:t>$</w:t>
      </w:r>
      <w:r>
        <w:t>XX</w:t>
      </w:r>
      <w:r w:rsidR="781A8726">
        <w:t xml:space="preserve"> million</w:t>
      </w:r>
      <w:r>
        <w:t>]</w:t>
      </w:r>
      <w:r w:rsidR="781A8726">
        <w:t xml:space="preserve"> would derive from the </w:t>
      </w:r>
      <w:r>
        <w:t>P</w:t>
      </w:r>
      <w:r w:rsidR="781A8726">
        <w:t>rogram’s Tariffed On-Bill investments</w:t>
      </w:r>
      <w:r w:rsidR="7EBC04E7">
        <w:t>.</w:t>
      </w:r>
      <w:r w:rsidR="781A8726">
        <w:t xml:space="preserve"> </w:t>
      </w:r>
      <w:r w:rsidR="7EBC04E7">
        <w:t>T</w:t>
      </w:r>
      <w:r w:rsidR="781A8726">
        <w:t>he balance would come from</w:t>
      </w:r>
      <w:r w:rsidR="5B236635">
        <w:t xml:space="preserve"> </w:t>
      </w:r>
      <w:r w:rsidR="7016298C">
        <w:t xml:space="preserve">grants, </w:t>
      </w:r>
      <w:r w:rsidR="5B236635">
        <w:t>incentives</w:t>
      </w:r>
      <w:r w:rsidR="7016298C">
        <w:t xml:space="preserve">, and </w:t>
      </w:r>
      <w:r>
        <w:t>C</w:t>
      </w:r>
      <w:r w:rsidR="7016298C">
        <w:t>ustomer co</w:t>
      </w:r>
      <w:r>
        <w:t>-</w:t>
      </w:r>
      <w:r w:rsidR="7016298C">
        <w:t>payments</w:t>
      </w:r>
      <w:r w:rsidR="7E110DDB">
        <w:t>.</w:t>
      </w:r>
      <w:r w:rsidR="65D6E05C">
        <w:t xml:space="preserve"> </w:t>
      </w:r>
      <w:r w:rsidR="475B39D6">
        <w:t>In this scenario, third-party</w:t>
      </w:r>
      <w:r w:rsidR="4E6006C0">
        <w:t xml:space="preserve"> capital </w:t>
      </w:r>
      <w:r w:rsidR="475B39D6">
        <w:t>could</w:t>
      </w:r>
      <w:r w:rsidR="4E6006C0">
        <w:t xml:space="preserve"> cover approximately </w:t>
      </w:r>
      <w:r>
        <w:t>[X</w:t>
      </w:r>
      <w:r w:rsidR="4E6006C0">
        <w:t xml:space="preserve"> percent</w:t>
      </w:r>
      <w:r>
        <w:t>]</w:t>
      </w:r>
      <w:r w:rsidR="4E6006C0">
        <w:t xml:space="preserve"> of the principal investment, with public funds</w:t>
      </w:r>
      <w:r w:rsidR="0631393B">
        <w:t xml:space="preserve"> and </w:t>
      </w:r>
      <w:r>
        <w:t>Cu</w:t>
      </w:r>
      <w:r w:rsidR="0631393B">
        <w:t>stomer contributions</w:t>
      </w:r>
      <w:r w:rsidR="4E6006C0">
        <w:t xml:space="preserve"> making up the balance.</w:t>
      </w:r>
    </w:p>
    <w:p w14:paraId="59163C22" w14:textId="1B6226AE" w:rsidR="009A0AA8" w:rsidRDefault="235DAF1B" w:rsidP="6A5D419A">
      <w:pPr>
        <w:rPr>
          <w:highlight w:val="magenta"/>
        </w:rPr>
      </w:pPr>
      <w:r>
        <w:t xml:space="preserve">If, on the other hand, </w:t>
      </w:r>
      <w:r w:rsidR="5ED665A7">
        <w:t>P</w:t>
      </w:r>
      <w:r>
        <w:t xml:space="preserve">articipating </w:t>
      </w:r>
      <w:r w:rsidR="5ED665A7">
        <w:t>C</w:t>
      </w:r>
      <w:r>
        <w:t xml:space="preserve">ustomers could opt </w:t>
      </w:r>
      <w:r w:rsidR="1AB914D5">
        <w:t>into</w:t>
      </w:r>
      <w:r>
        <w:t xml:space="preserve"> the proposed new electrification tariff,</w:t>
      </w:r>
      <w:r w:rsidR="74B41AA7">
        <w:t xml:space="preserve"> the amount of third-party capital that could be deployed for the same scope of investments would increase to</w:t>
      </w:r>
      <w:r w:rsidR="1AB914D5">
        <w:t xml:space="preserve"> </w:t>
      </w:r>
      <w:r w:rsidR="5ED665A7">
        <w:t>[</w:t>
      </w:r>
      <w:r w:rsidR="1AB914D5">
        <w:t>$</w:t>
      </w:r>
      <w:r w:rsidR="5ED665A7">
        <w:t>XX</w:t>
      </w:r>
      <w:r w:rsidR="1AB914D5">
        <w:t xml:space="preserve"> million</w:t>
      </w:r>
      <w:r w:rsidR="5ED665A7">
        <w:t>]</w:t>
      </w:r>
      <w:r w:rsidR="616D54AC">
        <w:t>, representing</w:t>
      </w:r>
      <w:r w:rsidR="5ED665A7">
        <w:t xml:space="preserve"> [X percent]</w:t>
      </w:r>
      <w:r w:rsidR="616D54AC">
        <w:t xml:space="preserve"> of the principal investment</w:t>
      </w:r>
      <w:r w:rsidR="5ED665A7">
        <w:t xml:space="preserve">; </w:t>
      </w:r>
      <w:r w:rsidR="616D54AC">
        <w:t xml:space="preserve">the demand for public funds and customer contributions would </w:t>
      </w:r>
      <w:r w:rsidR="5ED665A7">
        <w:t xml:space="preserve">thus </w:t>
      </w:r>
      <w:r w:rsidR="616D54AC">
        <w:t xml:space="preserve">shrink to </w:t>
      </w:r>
      <w:r w:rsidR="5ED665A7">
        <w:t>[</w:t>
      </w:r>
      <w:r w:rsidR="616D54AC">
        <w:t>$</w:t>
      </w:r>
      <w:r w:rsidR="5ED665A7">
        <w:t>XX</w:t>
      </w:r>
      <w:r w:rsidR="616D54AC">
        <w:t xml:space="preserve"> million</w:t>
      </w:r>
      <w:r w:rsidR="5ED665A7">
        <w:t>]</w:t>
      </w:r>
      <w:r w:rsidR="616D54AC">
        <w:t>.</w:t>
      </w:r>
    </w:p>
    <w:p w14:paraId="4F61A681" w14:textId="42A8F356" w:rsidR="00CA3116" w:rsidRPr="00FD01A0" w:rsidRDefault="5962CA0F" w:rsidP="00CA3116">
      <w:pPr>
        <w:rPr>
          <w:rFonts w:ascii="Palatino Linotype" w:eastAsia="Palatino Linotype" w:hAnsi="Palatino Linotype"/>
          <w:color w:val="141414"/>
        </w:rPr>
      </w:pPr>
      <w:r w:rsidRPr="727BFE15">
        <w:rPr>
          <w:rFonts w:ascii="Palatino Linotype" w:eastAsia="Palatino Linotype" w:hAnsi="Palatino Linotype"/>
          <w:color w:val="141414"/>
        </w:rPr>
        <w:t xml:space="preserve">In addition, the program estimates an operating revenue requirement of </w:t>
      </w:r>
      <w:r w:rsidR="5ED665A7" w:rsidRPr="727BFE15">
        <w:rPr>
          <w:rFonts w:ascii="Palatino Linotype" w:eastAsia="Palatino Linotype" w:hAnsi="Palatino Linotype"/>
          <w:color w:val="141414"/>
        </w:rPr>
        <w:t>[</w:t>
      </w:r>
      <w:r w:rsidRPr="727BFE15">
        <w:rPr>
          <w:rFonts w:ascii="Palatino Linotype" w:eastAsia="Palatino Linotype" w:hAnsi="Palatino Linotype"/>
          <w:color w:val="141414"/>
        </w:rPr>
        <w:t>$</w:t>
      </w:r>
      <w:r w:rsidR="5ED665A7" w:rsidRPr="727BFE15">
        <w:rPr>
          <w:rFonts w:ascii="Palatino Linotype" w:eastAsia="Palatino Linotype" w:hAnsi="Palatino Linotype"/>
          <w:color w:val="141414"/>
        </w:rPr>
        <w:t>XX]</w:t>
      </w:r>
      <w:r w:rsidRPr="727BFE15">
        <w:rPr>
          <w:rFonts w:ascii="Palatino Linotype" w:eastAsia="Palatino Linotype" w:hAnsi="Palatino Linotype"/>
          <w:color w:val="141414"/>
        </w:rPr>
        <w:t xml:space="preserve"> over </w:t>
      </w:r>
      <w:r w:rsidR="5ED665A7" w:rsidRPr="727BFE15">
        <w:rPr>
          <w:rFonts w:ascii="Palatino Linotype" w:eastAsia="Palatino Linotype" w:hAnsi="Palatino Linotype"/>
          <w:color w:val="141414"/>
        </w:rPr>
        <w:t>[XX</w:t>
      </w:r>
      <w:r w:rsidRPr="727BFE15">
        <w:rPr>
          <w:rFonts w:ascii="Palatino Linotype" w:eastAsia="Palatino Linotype" w:hAnsi="Palatino Linotype"/>
          <w:color w:val="141414"/>
        </w:rPr>
        <w:t xml:space="preserve"> years</w:t>
      </w:r>
      <w:r w:rsidR="5ED665A7" w:rsidRPr="727BFE15">
        <w:rPr>
          <w:rFonts w:ascii="Palatino Linotype" w:eastAsia="Palatino Linotype" w:hAnsi="Palatino Linotype"/>
          <w:color w:val="141414"/>
        </w:rPr>
        <w:t>]</w:t>
      </w:r>
      <w:r w:rsidRPr="727BFE15">
        <w:rPr>
          <w:rFonts w:ascii="Palatino Linotype" w:eastAsia="Palatino Linotype" w:hAnsi="Palatino Linotype"/>
          <w:color w:val="141414"/>
        </w:rPr>
        <w:t>.</w:t>
      </w:r>
    </w:p>
    <w:p w14:paraId="15CC2D9C" w14:textId="4FB68047" w:rsidR="00FD01A0" w:rsidRDefault="5ED665A7" w:rsidP="727BFE15">
      <w:pPr>
        <w:rPr>
          <w:rFonts w:ascii="Palatino Linotype" w:eastAsia="Palatino Linotype" w:hAnsi="Palatino Linotype"/>
          <w:i/>
          <w:iCs/>
          <w:color w:val="141414"/>
        </w:rPr>
      </w:pPr>
      <w:r w:rsidRPr="727BFE15">
        <w:rPr>
          <w:rFonts w:ascii="Palatino Linotype" w:eastAsia="Palatino Linotype" w:hAnsi="Palatino Linotype"/>
          <w:i/>
          <w:iCs/>
          <w:color w:val="141414"/>
        </w:rPr>
        <w:t>From TECH Clean California:</w:t>
      </w:r>
    </w:p>
    <w:p w14:paraId="6F0E389F" w14:textId="1A1AFAE1" w:rsidR="0D676806" w:rsidRPr="00FD01A0" w:rsidRDefault="0D0AC4E7" w:rsidP="727BFE15">
      <w:pPr>
        <w:rPr>
          <w:rFonts w:ascii="Palatino Linotype" w:eastAsia="Palatino Linotype" w:hAnsi="Palatino Linotype"/>
          <w:i/>
          <w:iCs/>
          <w:color w:val="141414"/>
          <w:highlight w:val="magenta"/>
        </w:rPr>
      </w:pPr>
      <w:r w:rsidRPr="727BFE15">
        <w:rPr>
          <w:rFonts w:ascii="Palatino Linotype" w:eastAsia="Palatino Linotype" w:hAnsi="Palatino Linotype"/>
          <w:i/>
          <w:iCs/>
          <w:color w:val="141414"/>
        </w:rPr>
        <w:t xml:space="preserve">The following sections describe some known funding options. Program </w:t>
      </w:r>
      <w:r w:rsidR="5ED665A7" w:rsidRPr="727BFE15">
        <w:rPr>
          <w:rFonts w:ascii="Palatino Linotype" w:eastAsia="Palatino Linotype" w:hAnsi="Palatino Linotype"/>
          <w:i/>
          <w:iCs/>
          <w:color w:val="141414"/>
        </w:rPr>
        <w:t>S</w:t>
      </w:r>
      <w:r w:rsidRPr="727BFE15">
        <w:rPr>
          <w:rFonts w:ascii="Palatino Linotype" w:eastAsia="Palatino Linotype" w:hAnsi="Palatino Linotype"/>
          <w:i/>
          <w:iCs/>
          <w:color w:val="141414"/>
        </w:rPr>
        <w:t>ponsors should rewrite to r</w:t>
      </w:r>
      <w:r w:rsidR="27985323" w:rsidRPr="727BFE15">
        <w:rPr>
          <w:rFonts w:ascii="Palatino Linotype" w:eastAsia="Palatino Linotype" w:hAnsi="Palatino Linotype"/>
          <w:i/>
          <w:iCs/>
          <w:color w:val="141414"/>
        </w:rPr>
        <w:t>eflect their choices.</w:t>
      </w:r>
    </w:p>
    <w:p w14:paraId="2DF7CDB0" w14:textId="36BE09F5" w:rsidR="00EC3439" w:rsidRDefault="502FBF07" w:rsidP="727BFE15">
      <w:pPr>
        <w:rPr>
          <w:rStyle w:val="NormalWebChar1"/>
        </w:rPr>
      </w:pPr>
      <w:r w:rsidRPr="727BFE15">
        <w:rPr>
          <w:b/>
          <w:bCs/>
        </w:rPr>
        <w:t xml:space="preserve">Option: Ratepayer </w:t>
      </w:r>
      <w:r w:rsidR="5ED665A7" w:rsidRPr="727BFE15">
        <w:rPr>
          <w:b/>
          <w:bCs/>
        </w:rPr>
        <w:t>f</w:t>
      </w:r>
      <w:r w:rsidRPr="727BFE15">
        <w:rPr>
          <w:b/>
          <w:bCs/>
        </w:rPr>
        <w:t>unds.</w:t>
      </w:r>
      <w:r>
        <w:t xml:space="preserve"> A</w:t>
      </w:r>
      <w:r w:rsidRPr="727BFE15">
        <w:rPr>
          <w:rStyle w:val="NormalWebChar1"/>
        </w:rPr>
        <w:t xml:space="preserve">s an initial start-up source of capital, [Program Sponsor] requests CPUC authorization to allocate ratepayer funds. The cost of capital assigned to ratepayer funds shall be zero. [Program Sponsor] will submit an Advice Letter in Year 2 of </w:t>
      </w:r>
      <w:r w:rsidR="0F1726E7" w:rsidRPr="727BFE15">
        <w:rPr>
          <w:rStyle w:val="NormalWebChar1"/>
        </w:rPr>
        <w:t>P</w:t>
      </w:r>
      <w:r w:rsidRPr="727BFE15">
        <w:rPr>
          <w:rStyle w:val="NormalWebChar1"/>
        </w:rPr>
        <w:t>rogram implementation</w:t>
      </w:r>
      <w:r w:rsidR="0F1726E7" w:rsidRPr="727BFE15">
        <w:rPr>
          <w:rStyle w:val="NormalWebChar1"/>
        </w:rPr>
        <w:t>,</w:t>
      </w:r>
      <w:r w:rsidRPr="727BFE15">
        <w:rPr>
          <w:rStyle w:val="NormalWebChar1"/>
        </w:rPr>
        <w:t xml:space="preserve"> describing options for securing private capital sources to extend the </w:t>
      </w:r>
      <w:r w:rsidR="0F1726E7" w:rsidRPr="727BFE15">
        <w:rPr>
          <w:rStyle w:val="NormalWebChar1"/>
        </w:rPr>
        <w:t>P</w:t>
      </w:r>
      <w:r w:rsidRPr="727BFE15">
        <w:rPr>
          <w:rStyle w:val="NormalWebChar1"/>
        </w:rPr>
        <w:t xml:space="preserve">rogram </w:t>
      </w:r>
      <w:r w:rsidR="0F1726E7" w:rsidRPr="727BFE15">
        <w:rPr>
          <w:rStyle w:val="NormalWebChar1"/>
        </w:rPr>
        <w:t>sustainably and at scale.</w:t>
      </w:r>
    </w:p>
    <w:p w14:paraId="3780D5FC" w14:textId="295921E3" w:rsidR="009A278A" w:rsidRDefault="5E9A387B" w:rsidP="009A278A">
      <w:r w:rsidRPr="4F167CE6">
        <w:rPr>
          <w:b/>
          <w:bCs/>
        </w:rPr>
        <w:t xml:space="preserve">Option: Utility </w:t>
      </w:r>
      <w:r w:rsidR="0F1726E7">
        <w:rPr>
          <w:b/>
          <w:bCs/>
        </w:rPr>
        <w:t>c</w:t>
      </w:r>
      <w:r w:rsidRPr="4F167CE6">
        <w:rPr>
          <w:b/>
          <w:bCs/>
        </w:rPr>
        <w:t>apital</w:t>
      </w:r>
      <w:r w:rsidRPr="006C073A">
        <w:rPr>
          <w:b/>
          <w:bCs/>
        </w:rPr>
        <w:t>.</w:t>
      </w:r>
      <w:r w:rsidRPr="006C073A">
        <w:t xml:space="preserve"> </w:t>
      </w:r>
      <w:r w:rsidR="08C6F016" w:rsidRPr="006C073A">
        <w:t>[Program Sponsor] se</w:t>
      </w:r>
      <w:r w:rsidR="08C6F016">
        <w:t>eks CPUC approval</w:t>
      </w:r>
      <w:r w:rsidR="106D7220">
        <w:t xml:space="preserve"> to</w:t>
      </w:r>
      <w:r w:rsidR="1DB8E1B3">
        <w:t xml:space="preserve"> fund TOB investments via debt.</w:t>
      </w:r>
      <w:r w:rsidR="5FF4863E">
        <w:t xml:space="preserve"> The cost of capital </w:t>
      </w:r>
      <w:r w:rsidR="6FC4FBF3">
        <w:t xml:space="preserve">is </w:t>
      </w:r>
      <w:r w:rsidR="14ECDF73">
        <w:t xml:space="preserve">proposed to be consistent with the </w:t>
      </w:r>
      <w:r w:rsidR="0F1726E7">
        <w:t>U</w:t>
      </w:r>
      <w:r w:rsidR="14ECDF73">
        <w:t>tility’s long-term</w:t>
      </w:r>
      <w:r w:rsidR="429CB67F">
        <w:t xml:space="preserve"> cost of debt, as </w:t>
      </w:r>
      <w:r w:rsidR="6FC4FBF3">
        <w:t xml:space="preserve">shown </w:t>
      </w:r>
      <w:r w:rsidR="0F1726E7">
        <w:t xml:space="preserve">in </w:t>
      </w:r>
      <w:r w:rsidR="0F1726E7">
        <w:rPr>
          <w:b/>
          <w:bCs/>
        </w:rPr>
        <w:t>Table 9</w:t>
      </w:r>
      <w:r w:rsidR="0F1726E7" w:rsidRPr="00E22310">
        <w:t>.</w:t>
      </w:r>
      <w:r w:rsidR="003529D5" w:rsidRPr="00E22310">
        <w:rPr>
          <w:rStyle w:val="FootnoteReference"/>
        </w:rPr>
        <w:footnoteReference w:id="35"/>
      </w:r>
      <w:r w:rsidR="66BB7028" w:rsidRPr="00E22310">
        <w:t xml:space="preserve"> [Program Sponsor] attest</w:t>
      </w:r>
      <w:r w:rsidR="75B5314C">
        <w:t>s</w:t>
      </w:r>
      <w:r w:rsidR="66BB7028">
        <w:t xml:space="preserve"> that the amount of debt contemplated does not compromise the utility’s ability to secure debt-funding for other mission-critical purposes.</w:t>
      </w:r>
    </w:p>
    <w:p w14:paraId="2DEC3B04" w14:textId="366D1E34" w:rsidR="00820A29" w:rsidRPr="00B054B5" w:rsidRDefault="59E6FC31" w:rsidP="009346D2">
      <w:pPr>
        <w:rPr>
          <w:b/>
          <w:bCs/>
        </w:rPr>
      </w:pPr>
      <w:r w:rsidRPr="727BFE15">
        <w:rPr>
          <w:b/>
          <w:bCs/>
        </w:rPr>
        <w:t xml:space="preserve">Table </w:t>
      </w:r>
      <w:r w:rsidR="75B5314C" w:rsidRPr="727BFE15">
        <w:rPr>
          <w:b/>
          <w:bCs/>
        </w:rPr>
        <w:t>9</w:t>
      </w:r>
      <w:r w:rsidRPr="727BFE15">
        <w:rPr>
          <w:b/>
          <w:bCs/>
        </w:rPr>
        <w:t xml:space="preserve">. Utility </w:t>
      </w:r>
      <w:r w:rsidR="75B5314C" w:rsidRPr="727BFE15">
        <w:rPr>
          <w:b/>
          <w:bCs/>
        </w:rPr>
        <w:t>l</w:t>
      </w:r>
      <w:r w:rsidR="0D6CE729" w:rsidRPr="727BFE15">
        <w:rPr>
          <w:b/>
          <w:bCs/>
        </w:rPr>
        <w:t xml:space="preserve">ong-term </w:t>
      </w:r>
      <w:r w:rsidR="75B5314C" w:rsidRPr="727BFE15">
        <w:rPr>
          <w:b/>
          <w:bCs/>
        </w:rPr>
        <w:t>c</w:t>
      </w:r>
      <w:r w:rsidRPr="727BFE15">
        <w:rPr>
          <w:b/>
          <w:bCs/>
        </w:rPr>
        <w:t xml:space="preserve">ost of </w:t>
      </w:r>
      <w:r w:rsidR="75B5314C" w:rsidRPr="727BFE15">
        <w:rPr>
          <w:b/>
          <w:bCs/>
        </w:rPr>
        <w:t>d</w:t>
      </w:r>
      <w:r w:rsidRPr="727BFE15">
        <w:rPr>
          <w:b/>
          <w:bCs/>
        </w:rPr>
        <w:t>ebt</w:t>
      </w:r>
    </w:p>
    <w:tbl>
      <w:tblPr>
        <w:tblStyle w:val="GridTable4-Accent1"/>
        <w:tblW w:w="0" w:type="auto"/>
        <w:tblLook w:val="0480" w:firstRow="0" w:lastRow="0" w:firstColumn="1" w:lastColumn="0" w:noHBand="0" w:noVBand="1"/>
      </w:tblPr>
      <w:tblGrid>
        <w:gridCol w:w="1320"/>
        <w:gridCol w:w="2001"/>
      </w:tblGrid>
      <w:tr w:rsidR="00E22310" w14:paraId="2A4E15B8" w14:textId="77777777" w:rsidTr="00226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45B368CB" w14:textId="1BAF0327" w:rsidR="00E22310" w:rsidRDefault="75B5314C" w:rsidP="009346D2">
            <w:r>
              <w:t>Utility</w:t>
            </w:r>
          </w:p>
        </w:tc>
        <w:tc>
          <w:tcPr>
            <w:tcW w:w="2001" w:type="dxa"/>
          </w:tcPr>
          <w:p w14:paraId="0EC803FF" w14:textId="30057285" w:rsidR="00E22310" w:rsidRPr="00E22310" w:rsidRDefault="75B5314C" w:rsidP="009346D2">
            <w:pPr>
              <w:cnfStyle w:val="000000100000" w:firstRow="0" w:lastRow="0" w:firstColumn="0" w:lastColumn="0" w:oddVBand="0" w:evenVBand="0" w:oddHBand="1" w:evenHBand="0" w:firstRowFirstColumn="0" w:firstRowLastColumn="0" w:lastRowFirstColumn="0" w:lastRowLastColumn="0"/>
              <w:rPr>
                <w:b/>
                <w:bCs/>
              </w:rPr>
            </w:pPr>
            <w:r w:rsidRPr="727BFE15">
              <w:rPr>
                <w:b/>
                <w:bCs/>
              </w:rPr>
              <w:t>Interest rate</w:t>
            </w:r>
          </w:p>
        </w:tc>
      </w:tr>
      <w:tr w:rsidR="00F67811" w14:paraId="23341FBC" w14:textId="77777777" w:rsidTr="00226847">
        <w:tc>
          <w:tcPr>
            <w:cnfStyle w:val="001000000000" w:firstRow="0" w:lastRow="0" w:firstColumn="1" w:lastColumn="0" w:oddVBand="0" w:evenVBand="0" w:oddHBand="0" w:evenHBand="0" w:firstRowFirstColumn="0" w:firstRowLastColumn="0" w:lastRowFirstColumn="0" w:lastRowLastColumn="0"/>
            <w:tcW w:w="1320" w:type="dxa"/>
          </w:tcPr>
          <w:p w14:paraId="6AF6C4AD" w14:textId="024A0484" w:rsidR="00F67811" w:rsidRPr="00E22310" w:rsidRDefault="26001B9C" w:rsidP="009346D2">
            <w:pPr>
              <w:rPr>
                <w:b w:val="0"/>
                <w:bCs w:val="0"/>
              </w:rPr>
            </w:pPr>
            <w:r>
              <w:t>PG&amp;E</w:t>
            </w:r>
          </w:p>
        </w:tc>
        <w:tc>
          <w:tcPr>
            <w:tcW w:w="2001" w:type="dxa"/>
          </w:tcPr>
          <w:p w14:paraId="17E40F85" w14:textId="6E8A6397" w:rsidR="00F67811" w:rsidRDefault="00C05B03" w:rsidP="009346D2">
            <w:pPr>
              <w:cnfStyle w:val="000000000000" w:firstRow="0" w:lastRow="0" w:firstColumn="0" w:lastColumn="0" w:oddVBand="0" w:evenVBand="0" w:oddHBand="0" w:evenHBand="0" w:firstRowFirstColumn="0" w:firstRowLastColumn="0" w:lastRowFirstColumn="0" w:lastRowLastColumn="0"/>
            </w:pPr>
            <w:r>
              <w:t>5.</w:t>
            </w:r>
            <w:r w:rsidR="003529D5">
              <w:t>16</w:t>
            </w:r>
            <w:r w:rsidR="001F6156">
              <w:t>%</w:t>
            </w:r>
          </w:p>
        </w:tc>
      </w:tr>
      <w:tr w:rsidR="00F67811" w14:paraId="3F46F92B" w14:textId="77777777" w:rsidTr="00226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21B22E8A" w14:textId="52415963" w:rsidR="00F67811" w:rsidRPr="00E22310" w:rsidRDefault="26001B9C" w:rsidP="009346D2">
            <w:pPr>
              <w:rPr>
                <w:b w:val="0"/>
                <w:bCs w:val="0"/>
              </w:rPr>
            </w:pPr>
            <w:r>
              <w:t>SCE</w:t>
            </w:r>
          </w:p>
        </w:tc>
        <w:tc>
          <w:tcPr>
            <w:tcW w:w="2001" w:type="dxa"/>
          </w:tcPr>
          <w:p w14:paraId="4BB0234C" w14:textId="3041FE28" w:rsidR="00F67811" w:rsidRDefault="00231103" w:rsidP="009346D2">
            <w:pPr>
              <w:cnfStyle w:val="000000100000" w:firstRow="0" w:lastRow="0" w:firstColumn="0" w:lastColumn="0" w:oddVBand="0" w:evenVBand="0" w:oddHBand="1" w:evenHBand="0" w:firstRowFirstColumn="0" w:firstRowLastColumn="0" w:lastRowFirstColumn="0" w:lastRowLastColumn="0"/>
            </w:pPr>
            <w:r>
              <w:t>4.74%</w:t>
            </w:r>
          </w:p>
        </w:tc>
      </w:tr>
      <w:tr w:rsidR="00F67811" w14:paraId="301A969F" w14:textId="77777777" w:rsidTr="00226847">
        <w:tc>
          <w:tcPr>
            <w:cnfStyle w:val="001000000000" w:firstRow="0" w:lastRow="0" w:firstColumn="1" w:lastColumn="0" w:oddVBand="0" w:evenVBand="0" w:oddHBand="0" w:evenHBand="0" w:firstRowFirstColumn="0" w:firstRowLastColumn="0" w:lastRowFirstColumn="0" w:lastRowLastColumn="0"/>
            <w:tcW w:w="1320" w:type="dxa"/>
          </w:tcPr>
          <w:p w14:paraId="20D1C94E" w14:textId="772C205F" w:rsidR="00F67811" w:rsidRPr="00E22310" w:rsidRDefault="26001B9C" w:rsidP="009346D2">
            <w:pPr>
              <w:rPr>
                <w:b w:val="0"/>
                <w:bCs w:val="0"/>
              </w:rPr>
            </w:pPr>
            <w:r>
              <w:t>SDG&amp;E</w:t>
            </w:r>
          </w:p>
        </w:tc>
        <w:tc>
          <w:tcPr>
            <w:tcW w:w="2001" w:type="dxa"/>
          </w:tcPr>
          <w:p w14:paraId="2B247148" w14:textId="448DCD70" w:rsidR="00F67811" w:rsidRDefault="003529D5" w:rsidP="009346D2">
            <w:pPr>
              <w:cnfStyle w:val="000000000000" w:firstRow="0" w:lastRow="0" w:firstColumn="0" w:lastColumn="0" w:oddVBand="0" w:evenVBand="0" w:oddHBand="0" w:evenHBand="0" w:firstRowFirstColumn="0" w:firstRowLastColumn="0" w:lastRowFirstColumn="0" w:lastRowLastColumn="0"/>
            </w:pPr>
            <w:r>
              <w:t>4.59%</w:t>
            </w:r>
          </w:p>
        </w:tc>
      </w:tr>
      <w:tr w:rsidR="00F67811" w14:paraId="6E38A134" w14:textId="77777777" w:rsidTr="00226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tcPr>
          <w:p w14:paraId="071125D6" w14:textId="7161D47C" w:rsidR="00F67811" w:rsidRPr="00E22310" w:rsidRDefault="26001B9C" w:rsidP="009346D2">
            <w:pPr>
              <w:rPr>
                <w:b w:val="0"/>
                <w:bCs w:val="0"/>
              </w:rPr>
            </w:pPr>
            <w:r>
              <w:t>SoCalGas</w:t>
            </w:r>
          </w:p>
        </w:tc>
        <w:tc>
          <w:tcPr>
            <w:tcW w:w="2001" w:type="dxa"/>
          </w:tcPr>
          <w:p w14:paraId="37E52E93" w14:textId="52FB7227" w:rsidR="00F67811" w:rsidRDefault="003529D5" w:rsidP="009346D2">
            <w:pPr>
              <w:cnfStyle w:val="000000100000" w:firstRow="0" w:lastRow="0" w:firstColumn="0" w:lastColumn="0" w:oddVBand="0" w:evenVBand="0" w:oddHBand="1" w:evenHBand="0" w:firstRowFirstColumn="0" w:firstRowLastColumn="0" w:lastRowFirstColumn="0" w:lastRowLastColumn="0"/>
            </w:pPr>
            <w:r>
              <w:t>4.23%</w:t>
            </w:r>
          </w:p>
        </w:tc>
      </w:tr>
    </w:tbl>
    <w:p w14:paraId="27EAF6D0" w14:textId="6274F0A7" w:rsidR="0073190D" w:rsidRPr="0073190D" w:rsidRDefault="6ECFC114" w:rsidP="0073190D">
      <w:r w:rsidRPr="727BFE15">
        <w:rPr>
          <w:b/>
          <w:bCs/>
        </w:rPr>
        <w:t>Option:</w:t>
      </w:r>
      <w:r w:rsidR="75B690B6" w:rsidRPr="727BFE15">
        <w:rPr>
          <w:b/>
          <w:bCs/>
        </w:rPr>
        <w:t xml:space="preserve"> USDA’s Energy Efficiency and Conservation Loan Program</w:t>
      </w:r>
      <w:r w:rsidR="519F7A33" w:rsidRPr="727BFE15">
        <w:rPr>
          <w:b/>
          <w:bCs/>
        </w:rPr>
        <w:t xml:space="preserve"> (EECLP)</w:t>
      </w:r>
      <w:r w:rsidRPr="727BFE15">
        <w:rPr>
          <w:b/>
          <w:bCs/>
        </w:rPr>
        <w:t>.</w:t>
      </w:r>
      <w:r w:rsidR="0512B229">
        <w:t xml:space="preserve"> </w:t>
      </w:r>
      <w:r w:rsidR="79A8E0A7">
        <w:t>[Program Sponsor] intends</w:t>
      </w:r>
      <w:r w:rsidR="0417856C">
        <w:t xml:space="preserve"> to </w:t>
      </w:r>
      <w:r w:rsidR="519F7A33">
        <w:t xml:space="preserve">undergo the </w:t>
      </w:r>
      <w:r w:rsidR="0417856C">
        <w:t xml:space="preserve">loan application </w:t>
      </w:r>
      <w:r w:rsidR="519F7A33">
        <w:t xml:space="preserve">process </w:t>
      </w:r>
      <w:r w:rsidR="0417856C">
        <w:t xml:space="preserve">to </w:t>
      </w:r>
      <w:r w:rsidR="519F7A33">
        <w:t xml:space="preserve">participate in </w:t>
      </w:r>
      <w:r w:rsidR="0417856C">
        <w:t>USDA’s Energy Efficiency and Conservation Loan Program</w:t>
      </w:r>
      <w:r w:rsidR="22FCACA5">
        <w:t>.</w:t>
      </w:r>
      <w:r w:rsidR="62DD8AF8">
        <w:t xml:space="preserve"> </w:t>
      </w:r>
      <w:r w:rsidR="22FCACA5">
        <w:t xml:space="preserve">Consistent with USDA loan program guidelines, [Program Sponsor] will target </w:t>
      </w:r>
      <w:r w:rsidR="0512B229">
        <w:t xml:space="preserve">rural communities (roughly defined as </w:t>
      </w:r>
      <w:r w:rsidR="0512B229" w:rsidRPr="727BFE15">
        <w:rPr>
          <w:i/>
          <w:iCs/>
        </w:rPr>
        <w:t>communities with populations less than 20,000</w:t>
      </w:r>
      <w:r w:rsidR="0512B229">
        <w:t>)</w:t>
      </w:r>
      <w:r w:rsidR="32034279">
        <w:t xml:space="preserve">. If successful, the cost of capital through this mechanism is fixed at </w:t>
      </w:r>
      <w:r w:rsidR="0512B229">
        <w:t>Treasury rates of interest. The maximum term for loans under the EECLP is 15 years.</w:t>
      </w:r>
      <w:r w:rsidR="0E2032BB">
        <w:t xml:space="preserve"> </w:t>
      </w:r>
      <w:r w:rsidR="5834935A">
        <w:t xml:space="preserve">Consistent with program requirements, </w:t>
      </w:r>
      <w:r w:rsidR="0512B229">
        <w:t>funding</w:t>
      </w:r>
      <w:r w:rsidR="5834935A">
        <w:t xml:space="preserve"> will</w:t>
      </w:r>
      <w:r w:rsidR="0512B229">
        <w:t xml:space="preserve"> be used to:</w:t>
      </w:r>
    </w:p>
    <w:p w14:paraId="7C0B5A1B" w14:textId="36E4C24C" w:rsidR="0073190D" w:rsidRPr="0073190D" w:rsidRDefault="0512B229" w:rsidP="008A11C0">
      <w:pPr>
        <w:pStyle w:val="ListParagraph"/>
        <w:numPr>
          <w:ilvl w:val="0"/>
          <w:numId w:val="22"/>
        </w:numPr>
      </w:pPr>
      <w:r>
        <w:t>Improve energy efficiency and</w:t>
      </w:r>
      <w:r w:rsidR="519F7A33">
        <w:t xml:space="preserve"> </w:t>
      </w:r>
      <w:r>
        <w:t>/</w:t>
      </w:r>
      <w:r w:rsidR="519F7A33">
        <w:t xml:space="preserve"> </w:t>
      </w:r>
      <w:r>
        <w:t>or reduce peak demand on the customer side of the meter</w:t>
      </w:r>
    </w:p>
    <w:p w14:paraId="5A8CC820" w14:textId="3524581D" w:rsidR="0073190D" w:rsidRPr="0073190D" w:rsidRDefault="0512B229" w:rsidP="008A11C0">
      <w:pPr>
        <w:pStyle w:val="ListParagraph"/>
        <w:numPr>
          <w:ilvl w:val="0"/>
          <w:numId w:val="22"/>
        </w:numPr>
      </w:pPr>
      <w:r>
        <w:t>Modify the electric load such that there is a reduction in overall system demand</w:t>
      </w:r>
    </w:p>
    <w:p w14:paraId="65E65973" w14:textId="137F423A" w:rsidR="0073190D" w:rsidRPr="0073190D" w:rsidRDefault="0512B229" w:rsidP="008A11C0">
      <w:pPr>
        <w:pStyle w:val="ListParagraph"/>
        <w:numPr>
          <w:ilvl w:val="0"/>
          <w:numId w:val="22"/>
        </w:numPr>
      </w:pPr>
      <w:r>
        <w:t>Stimulate a more efficient use of existing electric facilities</w:t>
      </w:r>
    </w:p>
    <w:p w14:paraId="51028B36" w14:textId="0855C0E4" w:rsidR="0073190D" w:rsidRPr="0073190D" w:rsidRDefault="0512B229" w:rsidP="008A11C0">
      <w:pPr>
        <w:pStyle w:val="ListParagraph"/>
        <w:numPr>
          <w:ilvl w:val="0"/>
          <w:numId w:val="22"/>
        </w:numPr>
      </w:pPr>
      <w:r>
        <w:t>Attract new business and create jobs in rural communities by investing in energy efficiency, and</w:t>
      </w:r>
      <w:r w:rsidR="519F7A33">
        <w:t xml:space="preserve"> </w:t>
      </w:r>
      <w:r>
        <w:t>/</w:t>
      </w:r>
      <w:r w:rsidR="519F7A33">
        <w:t xml:space="preserve"> </w:t>
      </w:r>
      <w:r>
        <w:t>or</w:t>
      </w:r>
    </w:p>
    <w:p w14:paraId="69A368D0" w14:textId="77777777" w:rsidR="0073190D" w:rsidRPr="0073190D" w:rsidRDefault="0073190D" w:rsidP="008A11C0">
      <w:pPr>
        <w:pStyle w:val="ListParagraph"/>
        <w:numPr>
          <w:ilvl w:val="0"/>
          <w:numId w:val="22"/>
        </w:numPr>
      </w:pPr>
      <w:r w:rsidRPr="0073190D">
        <w:t>Encourage the use of renewable energy fuels for demand-side management or to reduce the use of fossil fuel use within a service territory.</w:t>
      </w:r>
    </w:p>
    <w:p w14:paraId="7D3F7B4B" w14:textId="6C642BB0" w:rsidR="009F1C31" w:rsidRPr="0073190D" w:rsidRDefault="53D494CE" w:rsidP="0073190D">
      <w:pPr>
        <w:rPr>
          <w:rFonts w:cstheme="minorBidi"/>
          <w:color w:val="454545"/>
        </w:rPr>
      </w:pPr>
      <w:r>
        <w:t xml:space="preserve">Program regulations accommodate </w:t>
      </w:r>
      <w:r w:rsidR="0512B229" w:rsidRPr="0073190D">
        <w:t>tariff</w:t>
      </w:r>
      <w:r w:rsidR="2BC10109">
        <w:t>ed investment</w:t>
      </w:r>
      <w:r>
        <w:t>s behind the customer meter</w:t>
      </w:r>
      <w:r w:rsidR="0512B229" w:rsidRPr="0073190D">
        <w:t>.</w:t>
      </w:r>
      <w:r w:rsidR="00155AA1">
        <w:rPr>
          <w:rStyle w:val="FootnoteReference"/>
        </w:rPr>
        <w:footnoteReference w:id="36"/>
      </w:r>
      <w:r w:rsidR="6902ECB7">
        <w:t xml:space="preserve"> </w:t>
      </w:r>
    </w:p>
    <w:p w14:paraId="29FCE066" w14:textId="7956A3ED" w:rsidR="0000606A" w:rsidRDefault="6BA83B16" w:rsidP="001F7CC7">
      <w:r>
        <w:rPr>
          <w:b/>
          <w:bCs/>
        </w:rPr>
        <w:t xml:space="preserve">Option: </w:t>
      </w:r>
      <w:r w:rsidR="2A39A34B" w:rsidRPr="002458DE">
        <w:rPr>
          <w:b/>
          <w:bCs/>
        </w:rPr>
        <w:t>U</w:t>
      </w:r>
      <w:r w:rsidR="519F7A33">
        <w:rPr>
          <w:b/>
          <w:bCs/>
        </w:rPr>
        <w:t>.</w:t>
      </w:r>
      <w:r w:rsidR="2A39A34B" w:rsidRPr="002458DE">
        <w:rPr>
          <w:b/>
          <w:bCs/>
        </w:rPr>
        <w:t>S</w:t>
      </w:r>
      <w:r w:rsidR="519F7A33">
        <w:rPr>
          <w:b/>
          <w:bCs/>
        </w:rPr>
        <w:t>.</w:t>
      </w:r>
      <w:r w:rsidR="2A39A34B" w:rsidRPr="002458DE">
        <w:rPr>
          <w:b/>
          <w:bCs/>
        </w:rPr>
        <w:t xml:space="preserve"> Department of Energy</w:t>
      </w:r>
      <w:r w:rsidR="519F7A33">
        <w:rPr>
          <w:b/>
          <w:bCs/>
        </w:rPr>
        <w:t xml:space="preserve"> (DOE)</w:t>
      </w:r>
      <w:r w:rsidR="2A39A34B" w:rsidRPr="002458DE">
        <w:rPr>
          <w:b/>
          <w:bCs/>
        </w:rPr>
        <w:t>, Loan Programs Office</w:t>
      </w:r>
      <w:r w:rsidR="505FEFC2">
        <w:rPr>
          <w:b/>
          <w:bCs/>
        </w:rPr>
        <w:t xml:space="preserve"> (LPO)</w:t>
      </w:r>
      <w:r w:rsidR="76179C2C">
        <w:rPr>
          <w:b/>
          <w:bCs/>
        </w:rPr>
        <w:t>.</w:t>
      </w:r>
      <w:r w:rsidR="76179C2C" w:rsidRPr="00434301">
        <w:t xml:space="preserve"> </w:t>
      </w:r>
      <w:r w:rsidR="09853323" w:rsidRPr="009C5DBF">
        <w:t>[</w:t>
      </w:r>
      <w:r w:rsidR="020FAD5F" w:rsidRPr="009C5DBF">
        <w:t>Program Sponsor]</w:t>
      </w:r>
      <w:r w:rsidR="020FAD5F" w:rsidRPr="00434301">
        <w:t xml:space="preserve"> will apply for capital funds an</w:t>
      </w:r>
      <w:r w:rsidR="09853323" w:rsidRPr="00434301">
        <w:t>d</w:t>
      </w:r>
      <w:r w:rsidR="519F7A33">
        <w:t xml:space="preserve"> </w:t>
      </w:r>
      <w:r w:rsidR="09853323" w:rsidRPr="00434301">
        <w:t>/</w:t>
      </w:r>
      <w:r w:rsidR="519F7A33">
        <w:t xml:space="preserve"> </w:t>
      </w:r>
      <w:r w:rsidR="09853323" w:rsidRPr="00434301">
        <w:t>or loan guarantees through the DOE Loan Program</w:t>
      </w:r>
      <w:r w:rsidR="519F7A33">
        <w:t>s</w:t>
      </w:r>
      <w:r w:rsidR="09853323" w:rsidRPr="00434301">
        <w:t xml:space="preserve"> Office. </w:t>
      </w:r>
      <w:r w:rsidR="76179C2C" w:rsidRPr="00665325">
        <w:t xml:space="preserve">LPO has up to $4.5 billion in loan guarantee authority for </w:t>
      </w:r>
      <w:r w:rsidR="505FEFC2">
        <w:t>r</w:t>
      </w:r>
      <w:r w:rsidR="76179C2C" w:rsidRPr="00665325">
        <w:t xml:space="preserve">enewable </w:t>
      </w:r>
      <w:r w:rsidR="505FEFC2">
        <w:t>e</w:t>
      </w:r>
      <w:r w:rsidR="76179C2C" w:rsidRPr="00665325">
        <w:t xml:space="preserve">nergy and </w:t>
      </w:r>
      <w:r w:rsidR="505FEFC2">
        <w:t>e</w:t>
      </w:r>
      <w:r w:rsidR="76179C2C" w:rsidRPr="00665325">
        <w:t xml:space="preserve">fficient </w:t>
      </w:r>
      <w:r w:rsidR="505FEFC2">
        <w:t>e</w:t>
      </w:r>
      <w:r w:rsidR="76179C2C" w:rsidRPr="00665325">
        <w:t xml:space="preserve">nergy </w:t>
      </w:r>
      <w:r w:rsidR="505FEFC2">
        <w:t>p</w:t>
      </w:r>
      <w:r w:rsidR="76179C2C" w:rsidRPr="00665325">
        <w:t xml:space="preserve">rojects under the Title 17 Innovative Energy Loan Guarantee Program, authorized by the Energy Policy Act of 2005. Title 17 helps eliminate gaps in commercial financing for energy projects in the United States that </w:t>
      </w:r>
      <w:r w:rsidR="505FEFC2">
        <w:t xml:space="preserve">use </w:t>
      </w:r>
      <w:r w:rsidR="76179C2C" w:rsidRPr="00665325">
        <w:t>innovative technology to reduce, avoid, or sequester greenhouse gas emissions.</w:t>
      </w:r>
      <w:r w:rsidR="002F5826">
        <w:rPr>
          <w:rStyle w:val="FootnoteReference"/>
        </w:rPr>
        <w:footnoteReference w:id="37"/>
      </w:r>
    </w:p>
    <w:p w14:paraId="0F01A206" w14:textId="7D08DD96" w:rsidR="00C415B5" w:rsidRDefault="325C3EC6" w:rsidP="00022AB9">
      <w:pPr>
        <w:rPr>
          <w:highlight w:val="cyan"/>
        </w:rPr>
      </w:pPr>
      <w:r>
        <w:rPr>
          <w:b/>
          <w:bCs/>
        </w:rPr>
        <w:t xml:space="preserve">Option: </w:t>
      </w:r>
      <w:r w:rsidRPr="004014E2">
        <w:rPr>
          <w:b/>
          <w:bCs/>
        </w:rPr>
        <w:t>Climate Catalyst Fund (I-Bank)</w:t>
      </w:r>
      <w:r>
        <w:rPr>
          <w:b/>
          <w:bCs/>
        </w:rPr>
        <w:t>.</w:t>
      </w:r>
      <w:r w:rsidRPr="00934E33">
        <w:t xml:space="preserve"> </w:t>
      </w:r>
      <w:r w:rsidR="3288796F" w:rsidRPr="00754F76">
        <w:t>[Program Sponsor]</w:t>
      </w:r>
      <w:r w:rsidR="3288796F" w:rsidRPr="00934E33">
        <w:t xml:space="preserve"> </w:t>
      </w:r>
      <w:r w:rsidR="3288796F">
        <w:t xml:space="preserve">will seek access to capital via the State of California’s </w:t>
      </w:r>
      <w:r w:rsidRPr="004014E2">
        <w:t>Climate Catalyst Fund</w:t>
      </w:r>
      <w:r w:rsidR="41B0092A">
        <w:t>. This fund is a</w:t>
      </w:r>
      <w:r w:rsidRPr="004014E2">
        <w:t xml:space="preserve"> multi-purpose investment vehicle for climate and sustainability projects, offering low-interest loans, credit support, conduit bond financing</w:t>
      </w:r>
      <w:r w:rsidR="505FEFC2">
        <w:t>,</w:t>
      </w:r>
      <w:r w:rsidRPr="004014E2">
        <w:t xml:space="preserve"> and special-purpose vehicles for critical infrastructure initiatives. </w:t>
      </w:r>
      <w:r w:rsidR="505FEFC2">
        <w:t xml:space="preserve">The Climate </w:t>
      </w:r>
      <w:r w:rsidRPr="004014E2">
        <w:t>Catalyst Fund can support projects sponsored by public, private</w:t>
      </w:r>
      <w:r w:rsidR="505FEFC2">
        <w:t>,</w:t>
      </w:r>
      <w:r w:rsidRPr="004014E2">
        <w:t xml:space="preserve"> and not-for-</w:t>
      </w:r>
      <w:r w:rsidR="505FEFC2">
        <w:t>profit</w:t>
      </w:r>
      <w:r w:rsidRPr="004014E2">
        <w:t xml:space="preserve"> entities, depending on the nature of the technology and its application.</w:t>
      </w:r>
      <w:r w:rsidR="00B15C55">
        <w:rPr>
          <w:rStyle w:val="FootnoteReference"/>
        </w:rPr>
        <w:footnoteReference w:id="38"/>
      </w:r>
    </w:p>
    <w:p w14:paraId="3B00913C" w14:textId="1F321F3B" w:rsidR="00BB415C" w:rsidRPr="00BB415C" w:rsidRDefault="715A7793" w:rsidP="727BFE15">
      <w:pPr>
        <w:rPr>
          <w:i/>
          <w:iCs/>
        </w:rPr>
      </w:pPr>
      <w:r w:rsidRPr="727BFE15">
        <w:rPr>
          <w:i/>
          <w:iCs/>
        </w:rPr>
        <w:t>From TECH Clean California</w:t>
      </w:r>
    </w:p>
    <w:p w14:paraId="6F9D5F36" w14:textId="282460D2" w:rsidR="00664BBB" w:rsidRPr="00BB415C" w:rsidRDefault="2052F12D" w:rsidP="727BFE15">
      <w:pPr>
        <w:rPr>
          <w:i/>
          <w:iCs/>
        </w:rPr>
      </w:pPr>
      <w:r w:rsidRPr="727BFE15">
        <w:rPr>
          <w:i/>
          <w:iCs/>
        </w:rPr>
        <w:t>C</w:t>
      </w:r>
      <w:r w:rsidR="52A0FE30" w:rsidRPr="727BFE15">
        <w:rPr>
          <w:i/>
          <w:iCs/>
        </w:rPr>
        <w:t>onduct a program</w:t>
      </w:r>
      <w:r w:rsidR="715A7793" w:rsidRPr="727BFE15">
        <w:rPr>
          <w:i/>
          <w:iCs/>
        </w:rPr>
        <w:t>-</w:t>
      </w:r>
      <w:r w:rsidR="52A0FE30" w:rsidRPr="727BFE15">
        <w:rPr>
          <w:i/>
          <w:iCs/>
        </w:rPr>
        <w:t>specific analysis of expected customer participation, bill savings, and capital stack</w:t>
      </w:r>
      <w:r w:rsidR="715A7793" w:rsidRPr="727BFE15">
        <w:rPr>
          <w:i/>
          <w:iCs/>
        </w:rPr>
        <w:t xml:space="preserve">, as shown in </w:t>
      </w:r>
      <w:r w:rsidR="715A7793" w:rsidRPr="727BFE15">
        <w:rPr>
          <w:b/>
          <w:bCs/>
          <w:i/>
          <w:iCs/>
        </w:rPr>
        <w:t>Table 10</w:t>
      </w:r>
      <w:r w:rsidR="52A0FE30" w:rsidRPr="727BFE15">
        <w:rPr>
          <w:i/>
          <w:iCs/>
        </w:rPr>
        <w:t>.</w:t>
      </w:r>
      <w:r w:rsidR="22FDABEA" w:rsidRPr="727BFE15">
        <w:rPr>
          <w:i/>
          <w:iCs/>
        </w:rPr>
        <w:t xml:space="preserve"> </w:t>
      </w:r>
    </w:p>
    <w:p w14:paraId="5345F821" w14:textId="0F8C1E3E" w:rsidR="007F11E4" w:rsidRPr="00BA4A1F" w:rsidRDefault="5CF5E4D2" w:rsidP="007F11E4">
      <w:pPr>
        <w:rPr>
          <w:b/>
          <w:bCs/>
        </w:rPr>
      </w:pPr>
      <w:r w:rsidRPr="727BFE15">
        <w:rPr>
          <w:b/>
          <w:bCs/>
        </w:rPr>
        <w:t xml:space="preserve">Table </w:t>
      </w:r>
      <w:r w:rsidR="715A7793" w:rsidRPr="727BFE15">
        <w:rPr>
          <w:b/>
          <w:bCs/>
        </w:rPr>
        <w:t>10</w:t>
      </w:r>
      <w:r w:rsidRPr="727BFE15">
        <w:rPr>
          <w:b/>
          <w:bCs/>
        </w:rPr>
        <w:t xml:space="preserve">. Funding </w:t>
      </w:r>
      <w:r w:rsidR="715A7793" w:rsidRPr="727BFE15">
        <w:rPr>
          <w:b/>
          <w:bCs/>
        </w:rPr>
        <w:t>c</w:t>
      </w:r>
      <w:r w:rsidRPr="727BFE15">
        <w:rPr>
          <w:b/>
          <w:bCs/>
        </w:rPr>
        <w:t xml:space="preserve">ontributions to </w:t>
      </w:r>
      <w:r w:rsidR="715A7793" w:rsidRPr="727BFE15">
        <w:rPr>
          <w:b/>
          <w:bCs/>
        </w:rPr>
        <w:t>c</w:t>
      </w:r>
      <w:r w:rsidRPr="727BFE15">
        <w:rPr>
          <w:b/>
          <w:bCs/>
        </w:rPr>
        <w:t xml:space="preserve">apital </w:t>
      </w:r>
      <w:r w:rsidR="715A7793" w:rsidRPr="727BFE15">
        <w:rPr>
          <w:b/>
          <w:bCs/>
        </w:rPr>
        <w:t>s</w:t>
      </w:r>
      <w:r w:rsidRPr="727BFE15">
        <w:rPr>
          <w:b/>
          <w:bCs/>
        </w:rPr>
        <w:t xml:space="preserve">tack and </w:t>
      </w:r>
      <w:r w:rsidR="715A7793" w:rsidRPr="727BFE15">
        <w:rPr>
          <w:b/>
          <w:bCs/>
        </w:rPr>
        <w:t>p</w:t>
      </w:r>
      <w:r w:rsidRPr="727BFE15">
        <w:rPr>
          <w:b/>
          <w:bCs/>
        </w:rPr>
        <w:t xml:space="preserve">rogram </w:t>
      </w:r>
      <w:r w:rsidR="715A7793" w:rsidRPr="727BFE15">
        <w:rPr>
          <w:b/>
          <w:bCs/>
        </w:rPr>
        <w:t>o</w:t>
      </w:r>
      <w:r w:rsidRPr="727BFE15">
        <w:rPr>
          <w:b/>
          <w:bCs/>
        </w:rPr>
        <w:t>perations</w:t>
      </w:r>
    </w:p>
    <w:tbl>
      <w:tblPr>
        <w:tblStyle w:val="GridTable4-Accent1"/>
        <w:tblW w:w="9450" w:type="dxa"/>
        <w:tblInd w:w="-5" w:type="dxa"/>
        <w:tblLayout w:type="fixed"/>
        <w:tblLook w:val="0420" w:firstRow="1" w:lastRow="0" w:firstColumn="0" w:lastColumn="0" w:noHBand="0" w:noVBand="1"/>
      </w:tblPr>
      <w:tblGrid>
        <w:gridCol w:w="3510"/>
        <w:gridCol w:w="3227"/>
        <w:gridCol w:w="2713"/>
      </w:tblGrid>
      <w:tr w:rsidR="6A5D419A" w14:paraId="09E32702" w14:textId="77777777" w:rsidTr="00226847">
        <w:trPr>
          <w:cnfStyle w:val="100000000000" w:firstRow="1" w:lastRow="0" w:firstColumn="0" w:lastColumn="0" w:oddVBand="0" w:evenVBand="0" w:oddHBand="0" w:evenHBand="0" w:firstRowFirstColumn="0" w:firstRowLastColumn="0" w:lastRowFirstColumn="0" w:lastRowLastColumn="0"/>
          <w:trHeight w:val="675"/>
        </w:trPr>
        <w:tc>
          <w:tcPr>
            <w:tcW w:w="3510" w:type="dxa"/>
          </w:tcPr>
          <w:p w14:paraId="693598C0" w14:textId="4BEBA92A" w:rsidR="6A5D419A" w:rsidRDefault="6A5D419A" w:rsidP="00155AA1">
            <w:pPr>
              <w:ind w:right="404"/>
              <w:rPr>
                <w:rFonts w:ascii="Palatino Linotype" w:eastAsia="Palatino Linotype" w:hAnsi="Palatino Linotype"/>
                <w:color w:val="141414"/>
              </w:rPr>
            </w:pPr>
            <w:r w:rsidRPr="00B15C55">
              <w:t>Source</w:t>
            </w:r>
          </w:p>
        </w:tc>
        <w:tc>
          <w:tcPr>
            <w:tcW w:w="3227" w:type="dxa"/>
          </w:tcPr>
          <w:p w14:paraId="6F22BF55" w14:textId="4C70BBEF" w:rsidR="6A5D419A" w:rsidRDefault="6A5D419A" w:rsidP="00155AA1">
            <w:pPr>
              <w:ind w:right="404"/>
              <w:rPr>
                <w:rFonts w:ascii="Palatino Linotype" w:eastAsia="Palatino Linotype" w:hAnsi="Palatino Linotype"/>
                <w:color w:val="141414"/>
              </w:rPr>
            </w:pPr>
            <w:r w:rsidRPr="00B15C55">
              <w:t>Notes</w:t>
            </w:r>
          </w:p>
        </w:tc>
        <w:tc>
          <w:tcPr>
            <w:tcW w:w="2713" w:type="dxa"/>
          </w:tcPr>
          <w:p w14:paraId="5E1AAA98" w14:textId="3EBBFD69" w:rsidR="6A5D419A" w:rsidRDefault="6A5D419A" w:rsidP="00B15C55">
            <w:pPr>
              <w:ind w:right="404"/>
              <w:rPr>
                <w:rFonts w:ascii="Palatino Linotype" w:eastAsia="Palatino Linotype" w:hAnsi="Palatino Linotype"/>
                <w:b w:val="0"/>
                <w:bCs w:val="0"/>
                <w:color w:val="141414"/>
              </w:rPr>
            </w:pPr>
            <w:r w:rsidRPr="00B15C55">
              <w:t>Amount</w:t>
            </w:r>
          </w:p>
        </w:tc>
      </w:tr>
      <w:tr w:rsidR="6A5D419A" w14:paraId="041B59AE" w14:textId="77777777" w:rsidTr="00226847">
        <w:trPr>
          <w:cnfStyle w:val="000000100000" w:firstRow="0" w:lastRow="0" w:firstColumn="0" w:lastColumn="0" w:oddVBand="0" w:evenVBand="0" w:oddHBand="1" w:evenHBand="0" w:firstRowFirstColumn="0" w:firstRowLastColumn="0" w:lastRowFirstColumn="0" w:lastRowLastColumn="0"/>
          <w:trHeight w:val="675"/>
        </w:trPr>
        <w:tc>
          <w:tcPr>
            <w:tcW w:w="3510" w:type="dxa"/>
          </w:tcPr>
          <w:p w14:paraId="42223AB4" w14:textId="5304B56D" w:rsidR="6A5D419A" w:rsidRDefault="386B69DB" w:rsidP="00155AA1">
            <w:pPr>
              <w:ind w:right="404"/>
              <w:rPr>
                <w:rFonts w:ascii="Palatino Linotype" w:eastAsia="Palatino Linotype" w:hAnsi="Palatino Linotype"/>
                <w:color w:val="141414"/>
              </w:rPr>
            </w:pPr>
            <w:r>
              <w:t xml:space="preserve">Private </w:t>
            </w:r>
            <w:r w:rsidR="715A7793">
              <w:t>c</w:t>
            </w:r>
            <w:r>
              <w:t>apital</w:t>
            </w:r>
          </w:p>
        </w:tc>
        <w:tc>
          <w:tcPr>
            <w:tcW w:w="3227" w:type="dxa"/>
          </w:tcPr>
          <w:p w14:paraId="5167AAB1" w14:textId="6F461C9F" w:rsidR="6A5D419A" w:rsidRDefault="6A5D419A" w:rsidP="00155AA1">
            <w:pPr>
              <w:ind w:right="404"/>
              <w:rPr>
                <w:rFonts w:ascii="Palatino Linotype" w:eastAsia="Palatino Linotype" w:hAnsi="Palatino Linotype"/>
                <w:color w:val="141414"/>
              </w:rPr>
            </w:pPr>
            <w:r w:rsidRPr="00B15C55">
              <w:t>Utility / third party</w:t>
            </w:r>
            <w:r w:rsidR="00EB0907">
              <w:t xml:space="preserve"> </w:t>
            </w:r>
            <w:r w:rsidR="00173A8E">
              <w:t xml:space="preserve">debt or equity </w:t>
            </w:r>
            <w:r w:rsidR="00EB0907">
              <w:t>or government-back</w:t>
            </w:r>
            <w:r w:rsidR="00173A8E">
              <w:t>ed</w:t>
            </w:r>
            <w:r w:rsidR="00EB0907">
              <w:t xml:space="preserve"> loan</w:t>
            </w:r>
            <w:r w:rsidR="00173A8E">
              <w:t>s to program</w:t>
            </w:r>
          </w:p>
        </w:tc>
        <w:tc>
          <w:tcPr>
            <w:tcW w:w="2713" w:type="dxa"/>
          </w:tcPr>
          <w:p w14:paraId="48B29E4C" w14:textId="0EC8AC80" w:rsidR="6A5D419A" w:rsidRPr="00FF62ED" w:rsidRDefault="6A5D419A" w:rsidP="00B15C55">
            <w:pPr>
              <w:ind w:right="404"/>
              <w:rPr>
                <w:rFonts w:ascii="Palatino Linotype" w:eastAsia="Palatino Linotype" w:hAnsi="Palatino Linotype"/>
                <w:color w:val="141414"/>
                <w:highlight w:val="magenta"/>
              </w:rPr>
            </w:pPr>
          </w:p>
        </w:tc>
      </w:tr>
      <w:tr w:rsidR="6A5D419A" w14:paraId="1D5AB2AA" w14:textId="77777777" w:rsidTr="00226847">
        <w:trPr>
          <w:trHeight w:val="705"/>
        </w:trPr>
        <w:tc>
          <w:tcPr>
            <w:tcW w:w="3510" w:type="dxa"/>
          </w:tcPr>
          <w:p w14:paraId="4C2489A9" w14:textId="41552CAA" w:rsidR="6A5D419A" w:rsidRDefault="6A5D419A" w:rsidP="00155AA1">
            <w:pPr>
              <w:ind w:right="404"/>
              <w:rPr>
                <w:rFonts w:ascii="Palatino Linotype" w:eastAsia="Palatino Linotype" w:hAnsi="Palatino Linotype"/>
                <w:color w:val="141414"/>
              </w:rPr>
            </w:pPr>
            <w:r w:rsidRPr="00700CE0">
              <w:t>Incentives</w:t>
            </w:r>
          </w:p>
        </w:tc>
        <w:tc>
          <w:tcPr>
            <w:tcW w:w="3227" w:type="dxa"/>
          </w:tcPr>
          <w:p w14:paraId="76C3089B" w14:textId="2420D633" w:rsidR="6A5D419A" w:rsidRDefault="6A5D419A" w:rsidP="00155AA1">
            <w:pPr>
              <w:ind w:right="404"/>
              <w:rPr>
                <w:rFonts w:ascii="Palatino Linotype" w:eastAsia="Palatino Linotype" w:hAnsi="Palatino Linotype"/>
                <w:color w:val="141414"/>
              </w:rPr>
            </w:pPr>
            <w:r w:rsidRPr="00700CE0">
              <w:t>TECH + previously committed ratepayer funding</w:t>
            </w:r>
          </w:p>
        </w:tc>
        <w:tc>
          <w:tcPr>
            <w:tcW w:w="2713" w:type="dxa"/>
          </w:tcPr>
          <w:p w14:paraId="3D517D3B" w14:textId="4645422D" w:rsidR="6A5D419A" w:rsidRPr="00FF62ED" w:rsidRDefault="6A5D419A" w:rsidP="00700CE0">
            <w:pPr>
              <w:ind w:right="404"/>
              <w:rPr>
                <w:rFonts w:ascii="Palatino Linotype" w:eastAsia="Palatino Linotype" w:hAnsi="Palatino Linotype"/>
                <w:color w:val="141414"/>
                <w:highlight w:val="magenta"/>
              </w:rPr>
            </w:pPr>
          </w:p>
        </w:tc>
      </w:tr>
      <w:tr w:rsidR="00EB0907" w14:paraId="0F2E7AFF" w14:textId="77777777" w:rsidTr="00226847">
        <w:trPr>
          <w:cnfStyle w:val="000000100000" w:firstRow="0" w:lastRow="0" w:firstColumn="0" w:lastColumn="0" w:oddVBand="0" w:evenVBand="0" w:oddHBand="1" w:evenHBand="0" w:firstRowFirstColumn="0" w:firstRowLastColumn="0" w:lastRowFirstColumn="0" w:lastRowLastColumn="0"/>
          <w:trHeight w:val="1200"/>
        </w:trPr>
        <w:tc>
          <w:tcPr>
            <w:tcW w:w="3510" w:type="dxa"/>
          </w:tcPr>
          <w:p w14:paraId="68363166" w14:textId="50840518" w:rsidR="00EB0907" w:rsidRPr="00700CE0" w:rsidRDefault="00EB0907" w:rsidP="00155AA1">
            <w:pPr>
              <w:ind w:right="404"/>
            </w:pPr>
            <w:r>
              <w:t>Funding gap</w:t>
            </w:r>
          </w:p>
        </w:tc>
        <w:tc>
          <w:tcPr>
            <w:tcW w:w="3227" w:type="dxa"/>
          </w:tcPr>
          <w:p w14:paraId="0211F3CB" w14:textId="5560ABFF" w:rsidR="00EB0907" w:rsidRPr="00700CE0" w:rsidRDefault="7D60019D" w:rsidP="00155AA1">
            <w:pPr>
              <w:ind w:right="404"/>
            </w:pPr>
            <w:r>
              <w:t xml:space="preserve">To be filled via Participant </w:t>
            </w:r>
            <w:r w:rsidR="715A7793">
              <w:t>c</w:t>
            </w:r>
            <w:r>
              <w:t>o-</w:t>
            </w:r>
            <w:r w:rsidR="715A7793">
              <w:t>p</w:t>
            </w:r>
            <w:r>
              <w:t>ay or additional public funds</w:t>
            </w:r>
          </w:p>
        </w:tc>
        <w:tc>
          <w:tcPr>
            <w:tcW w:w="2713" w:type="dxa"/>
          </w:tcPr>
          <w:p w14:paraId="05C26F24" w14:textId="77777777" w:rsidR="00EB0907" w:rsidRPr="00EB0907" w:rsidRDefault="00EB0907" w:rsidP="00700CE0">
            <w:pPr>
              <w:ind w:right="404"/>
              <w:rPr>
                <w:highlight w:val="magenta"/>
              </w:rPr>
            </w:pPr>
          </w:p>
        </w:tc>
      </w:tr>
      <w:tr w:rsidR="6A5D419A" w14:paraId="62735638" w14:textId="77777777" w:rsidTr="00226847">
        <w:trPr>
          <w:trHeight w:val="1200"/>
        </w:trPr>
        <w:tc>
          <w:tcPr>
            <w:tcW w:w="3510" w:type="dxa"/>
          </w:tcPr>
          <w:p w14:paraId="74BD8079" w14:textId="0BB7AC95" w:rsidR="6A5D419A" w:rsidRDefault="004A0A89" w:rsidP="00155AA1">
            <w:pPr>
              <w:ind w:right="404"/>
              <w:rPr>
                <w:rFonts w:ascii="Palatino Linotype" w:eastAsia="Palatino Linotype" w:hAnsi="Palatino Linotype"/>
                <w:color w:val="141414"/>
              </w:rPr>
            </w:pPr>
            <w:r>
              <w:t>Sponsor</w:t>
            </w:r>
            <w:r w:rsidR="6A5D419A" w:rsidRPr="00700CE0">
              <w:t xml:space="preserve"> contribution</w:t>
            </w:r>
          </w:p>
        </w:tc>
        <w:tc>
          <w:tcPr>
            <w:tcW w:w="3227" w:type="dxa"/>
          </w:tcPr>
          <w:p w14:paraId="1A315A98" w14:textId="44AC9AA3" w:rsidR="6A5D419A" w:rsidRDefault="6A5D419A" w:rsidP="00155AA1">
            <w:pPr>
              <w:ind w:right="404"/>
              <w:rPr>
                <w:rFonts w:ascii="Palatino Linotype" w:eastAsia="Palatino Linotype" w:hAnsi="Palatino Linotype"/>
                <w:color w:val="141414"/>
              </w:rPr>
            </w:pPr>
            <w:r w:rsidRPr="00700CE0">
              <w:t>Cost of capital + start up + program operating</w:t>
            </w:r>
          </w:p>
        </w:tc>
        <w:tc>
          <w:tcPr>
            <w:tcW w:w="2713" w:type="dxa"/>
          </w:tcPr>
          <w:p w14:paraId="5783E51A" w14:textId="6A088C44" w:rsidR="6A5D419A" w:rsidRPr="00FF62ED" w:rsidRDefault="6A5D419A" w:rsidP="00700CE0">
            <w:pPr>
              <w:ind w:right="404"/>
              <w:rPr>
                <w:rFonts w:ascii="Palatino Linotype" w:eastAsia="Palatino Linotype" w:hAnsi="Palatino Linotype"/>
                <w:color w:val="141414"/>
                <w:highlight w:val="magenta"/>
              </w:rPr>
            </w:pPr>
          </w:p>
        </w:tc>
      </w:tr>
      <w:tr w:rsidR="6A5D419A" w14:paraId="31CEFC21" w14:textId="77777777" w:rsidTr="00226847">
        <w:trPr>
          <w:cnfStyle w:val="000000100000" w:firstRow="0" w:lastRow="0" w:firstColumn="0" w:lastColumn="0" w:oddVBand="0" w:evenVBand="0" w:oddHBand="1" w:evenHBand="0" w:firstRowFirstColumn="0" w:firstRowLastColumn="0" w:lastRowFirstColumn="0" w:lastRowLastColumn="0"/>
          <w:trHeight w:val="705"/>
        </w:trPr>
        <w:tc>
          <w:tcPr>
            <w:tcW w:w="3510" w:type="dxa"/>
          </w:tcPr>
          <w:p w14:paraId="05DB1CCE" w14:textId="57E63EE4" w:rsidR="6A5D419A" w:rsidRDefault="6A5D419A" w:rsidP="00155AA1">
            <w:pPr>
              <w:ind w:right="404"/>
              <w:rPr>
                <w:rFonts w:ascii="Palatino Linotype" w:eastAsia="Palatino Linotype" w:hAnsi="Palatino Linotype"/>
                <w:color w:val="141414"/>
              </w:rPr>
            </w:pPr>
            <w:r w:rsidRPr="00700CE0">
              <w:t>Total</w:t>
            </w:r>
          </w:p>
        </w:tc>
        <w:tc>
          <w:tcPr>
            <w:tcW w:w="3227" w:type="dxa"/>
          </w:tcPr>
          <w:p w14:paraId="0CCD44FA" w14:textId="2E7B198F" w:rsidR="6A5D419A" w:rsidRDefault="6A5D419A" w:rsidP="00155AA1">
            <w:pPr>
              <w:ind w:right="404"/>
              <w:rPr>
                <w:rFonts w:ascii="Palatino Linotype" w:eastAsia="Palatino Linotype" w:hAnsi="Palatino Linotype"/>
                <w:color w:val="141414"/>
              </w:rPr>
            </w:pPr>
          </w:p>
        </w:tc>
        <w:tc>
          <w:tcPr>
            <w:tcW w:w="2713" w:type="dxa"/>
          </w:tcPr>
          <w:p w14:paraId="18A9D947" w14:textId="64F9F753" w:rsidR="6A5D419A" w:rsidRPr="00FF62ED" w:rsidRDefault="6A5D419A" w:rsidP="00700CE0">
            <w:pPr>
              <w:ind w:right="404"/>
              <w:rPr>
                <w:rFonts w:ascii="Palatino Linotype" w:eastAsia="Palatino Linotype" w:hAnsi="Palatino Linotype"/>
                <w:color w:val="141414"/>
                <w:highlight w:val="magenta"/>
              </w:rPr>
            </w:pPr>
          </w:p>
        </w:tc>
      </w:tr>
    </w:tbl>
    <w:p w14:paraId="752CA06F" w14:textId="77777777" w:rsidR="00010A94" w:rsidRDefault="00010A94" w:rsidP="00B53A1D"/>
    <w:p w14:paraId="33D5F13D" w14:textId="7C4A643F" w:rsidR="00BB415C" w:rsidRDefault="715A7793" w:rsidP="727BFE15">
      <w:pPr>
        <w:rPr>
          <w:i/>
          <w:iCs/>
        </w:rPr>
      </w:pPr>
      <w:r w:rsidRPr="727BFE15">
        <w:rPr>
          <w:i/>
          <w:iCs/>
        </w:rPr>
        <w:t>From the CPUC:</w:t>
      </w:r>
    </w:p>
    <w:p w14:paraId="4CF4BE7F" w14:textId="7B2D0DB9" w:rsidR="00C53DBB" w:rsidRPr="00BB415C" w:rsidRDefault="00C53DBB" w:rsidP="727BFE15">
      <w:pPr>
        <w:rPr>
          <w:i/>
          <w:iCs/>
        </w:rPr>
      </w:pPr>
      <w:r w:rsidRPr="00C53DBB">
        <w:rPr>
          <w:i/>
          <w:iCs/>
        </w:rPr>
        <w:t>Does the program intend to ultimately transition to 100% private capital at a specific milestone? Why or why not?</w:t>
      </w:r>
    </w:p>
    <w:p w14:paraId="60D7BFD4" w14:textId="652FFEC2" w:rsidR="00EF249B" w:rsidRPr="00C53DBB" w:rsidRDefault="597952C0" w:rsidP="727BFE15">
      <w:r w:rsidRPr="00C53DBB">
        <w:t>The program does not intend to transition to 100 percent private capital for</w:t>
      </w:r>
      <w:r w:rsidR="22775D67" w:rsidRPr="00C53DBB">
        <w:t xml:space="preserve"> </w:t>
      </w:r>
      <w:r w:rsidR="132EBE87" w:rsidRPr="00C53DBB">
        <w:t>three</w:t>
      </w:r>
      <w:r w:rsidR="22775D67" w:rsidRPr="00C53DBB">
        <w:t xml:space="preserve"> reasons:</w:t>
      </w:r>
    </w:p>
    <w:p w14:paraId="28616A29" w14:textId="51BE01BB" w:rsidR="00A36B61" w:rsidRDefault="22775D67" w:rsidP="00BB415C">
      <w:pPr>
        <w:pStyle w:val="ListParagraph"/>
        <w:numPr>
          <w:ilvl w:val="0"/>
          <w:numId w:val="20"/>
        </w:numPr>
      </w:pPr>
      <w:r>
        <w:t>Th</w:t>
      </w:r>
      <w:r w:rsidR="4A545ADD">
        <w:t>is TOB</w:t>
      </w:r>
      <w:r>
        <w:t xml:space="preserve"> </w:t>
      </w:r>
      <w:r w:rsidR="4A545ADD">
        <w:t>P</w:t>
      </w:r>
      <w:r>
        <w:t>rogram emphasizes decarbonization upgrades of existing homes, particularly replacement of fossil</w:t>
      </w:r>
      <w:r w:rsidR="715A7793">
        <w:t>-</w:t>
      </w:r>
      <w:r>
        <w:t>fuel</w:t>
      </w:r>
      <w:r w:rsidR="3A9F0427">
        <w:t xml:space="preserve">ed equipment with high-performing electric </w:t>
      </w:r>
      <w:r w:rsidR="25833563">
        <w:t>equipment</w:t>
      </w:r>
      <w:r w:rsidR="3A9F0427">
        <w:t>.</w:t>
      </w:r>
      <w:r w:rsidR="28842CD8">
        <w:t xml:space="preserve"> F</w:t>
      </w:r>
      <w:r w:rsidR="1E7EA002">
        <w:t>or many</w:t>
      </w:r>
      <w:r w:rsidR="612D45A1">
        <w:t>,</w:t>
      </w:r>
      <w:r w:rsidR="1E7EA002">
        <w:t xml:space="preserve"> if not most</w:t>
      </w:r>
      <w:r w:rsidR="612D45A1">
        <w:t>,</w:t>
      </w:r>
      <w:r w:rsidR="1E7EA002">
        <w:t xml:space="preserve"> California customers, s</w:t>
      </w:r>
      <w:r w:rsidR="70ADD6AB">
        <w:t>avings</w:t>
      </w:r>
      <w:r w:rsidR="31C7A6B4">
        <w:t xml:space="preserve"> from electrification upgrades are</w:t>
      </w:r>
      <w:r w:rsidR="70ADD6AB">
        <w:t xml:space="preserve"> expected to be insufficient to cover the full investment cost</w:t>
      </w:r>
      <w:r w:rsidR="48589D8B">
        <w:t>; thus</w:t>
      </w:r>
      <w:r w:rsidR="53C8DD20">
        <w:t>,</w:t>
      </w:r>
      <w:r w:rsidR="48589D8B">
        <w:t xml:space="preserve"> additional incentives will remain necessary</w:t>
      </w:r>
      <w:r w:rsidR="0745AED7">
        <w:t xml:space="preserve"> to avoid</w:t>
      </w:r>
      <w:r w:rsidR="20194FE2">
        <w:t xml:space="preserve"> insurmountable customer co</w:t>
      </w:r>
      <w:r w:rsidR="25833563">
        <w:t>-</w:t>
      </w:r>
      <w:r w:rsidR="20194FE2">
        <w:t>pay requirements</w:t>
      </w:r>
      <w:r w:rsidR="70ADD6AB">
        <w:t>.</w:t>
      </w:r>
    </w:p>
    <w:p w14:paraId="5CE3AB93" w14:textId="3E1E632F" w:rsidR="00BF1776" w:rsidRDefault="16FE2BE3" w:rsidP="008A11C0">
      <w:pPr>
        <w:pStyle w:val="ListParagraph"/>
        <w:numPr>
          <w:ilvl w:val="0"/>
          <w:numId w:val="20"/>
        </w:numPr>
      </w:pPr>
      <w:r>
        <w:t>The</w:t>
      </w:r>
      <w:r w:rsidR="414D6644">
        <w:t>re are substantial</w:t>
      </w:r>
      <w:r>
        <w:t xml:space="preserve"> public benefits</w:t>
      </w:r>
      <w:r w:rsidR="3A5C3180">
        <w:t xml:space="preserve"> </w:t>
      </w:r>
      <w:r w:rsidR="414D6644">
        <w:t>associated with</w:t>
      </w:r>
      <w:r w:rsidR="3A5C3180">
        <w:t xml:space="preserve"> building decarbonization</w:t>
      </w:r>
      <w:r>
        <w:t xml:space="preserve">, </w:t>
      </w:r>
      <w:r w:rsidR="48BFD92F">
        <w:t xml:space="preserve">particularly those associated with the environment, </w:t>
      </w:r>
      <w:r w:rsidR="414D6644">
        <w:t>public health</w:t>
      </w:r>
      <w:r w:rsidR="3A5C3180">
        <w:t xml:space="preserve">, </w:t>
      </w:r>
      <w:r w:rsidR="48BFD92F">
        <w:t xml:space="preserve">the regional </w:t>
      </w:r>
      <w:r w:rsidR="3A5C3180">
        <w:t>grid, and economic</w:t>
      </w:r>
      <w:r w:rsidR="63A46320">
        <w:t>s</w:t>
      </w:r>
      <w:r w:rsidR="7AB4EDEB">
        <w:t xml:space="preserve">. </w:t>
      </w:r>
      <w:r w:rsidR="114D45E6">
        <w:t xml:space="preserve">It is consistent with </w:t>
      </w:r>
      <w:r w:rsidR="63A46320">
        <w:t>S</w:t>
      </w:r>
      <w:r w:rsidR="114D45E6">
        <w:t>tate policy</w:t>
      </w:r>
      <w:r w:rsidR="7AB4EDEB">
        <w:t xml:space="preserve"> </w:t>
      </w:r>
      <w:r w:rsidR="21E9178D">
        <w:t>to allocate public co-fund</w:t>
      </w:r>
      <w:r w:rsidR="63A46320">
        <w:t>ing for</w:t>
      </w:r>
      <w:r w:rsidR="21E9178D">
        <w:t xml:space="preserve"> these investments</w:t>
      </w:r>
      <w:r w:rsidR="47354546">
        <w:t>,</w:t>
      </w:r>
      <w:r w:rsidR="7E729DCB">
        <w:t xml:space="preserve"> rather than assign the full investment responsibility to the customer.</w:t>
      </w:r>
    </w:p>
    <w:p w14:paraId="38F8FF1E" w14:textId="2CB6D5D6" w:rsidR="00087164" w:rsidRDefault="197027FE" w:rsidP="00087164">
      <w:pPr>
        <w:pStyle w:val="ListParagraph"/>
        <w:numPr>
          <w:ilvl w:val="0"/>
          <w:numId w:val="20"/>
        </w:numPr>
      </w:pPr>
      <w:r>
        <w:t xml:space="preserve">The </w:t>
      </w:r>
      <w:r w:rsidR="47354546">
        <w:t xml:space="preserve">primary </w:t>
      </w:r>
      <w:r w:rsidR="2BB869DB">
        <w:t xml:space="preserve">objective </w:t>
      </w:r>
      <w:r>
        <w:t xml:space="preserve">of the TOB </w:t>
      </w:r>
      <w:r w:rsidR="19D9C376">
        <w:t>Program</w:t>
      </w:r>
      <w:r>
        <w:t xml:space="preserve"> is to expand customer access to clean energy investments to include customers </w:t>
      </w:r>
      <w:r w:rsidR="47354546">
        <w:t xml:space="preserve">who </w:t>
      </w:r>
      <w:r>
        <w:t>are typically disqualified due to high debt-to-income ratios, poor credit, low home equity, or renter status</w:t>
      </w:r>
      <w:r w:rsidR="40B7806F">
        <w:t>—and w</w:t>
      </w:r>
      <w:r>
        <w:t xml:space="preserve">hose participation is necessary to meet state GHG goals in an equitable fashion. The same barriers that have prevented customers from accessing conventional financing have also impeded their ability to benefit from utility incentive programs. The policy priority should thus </w:t>
      </w:r>
      <w:r w:rsidR="40B7806F">
        <w:t xml:space="preserve">redress </w:t>
      </w:r>
      <w:r>
        <w:t xml:space="preserve">this historical inequity rather than </w:t>
      </w:r>
      <w:r w:rsidR="6C194484">
        <w:t xml:space="preserve">reduce </w:t>
      </w:r>
      <w:r>
        <w:t>ratepayer funding for clean</w:t>
      </w:r>
      <w:r w:rsidR="6C194484">
        <w:t>-</w:t>
      </w:r>
      <w:r>
        <w:t>energy investments. Incentive levels should be maintained or increased, at least for the foreseeable future.</w:t>
      </w:r>
    </w:p>
    <w:p w14:paraId="519966FD" w14:textId="5E08003A" w:rsidR="00022AB9" w:rsidRDefault="1B5E771C" w:rsidP="00F51DAC">
      <w:pPr>
        <w:pStyle w:val="Heading2"/>
      </w:pPr>
      <w:bookmarkStart w:id="34" w:name="_Toc98921604"/>
      <w:r>
        <w:t xml:space="preserve">Customer </w:t>
      </w:r>
      <w:r w:rsidR="3E5589CE">
        <w:t>P</w:t>
      </w:r>
      <w:r>
        <w:t>rotections</w:t>
      </w:r>
      <w:bookmarkEnd w:id="34"/>
    </w:p>
    <w:p w14:paraId="24641779" w14:textId="77777777" w:rsidR="00DE02CF" w:rsidRDefault="6C194484" w:rsidP="727BFE15">
      <w:pPr>
        <w:rPr>
          <w:i/>
          <w:iCs/>
        </w:rPr>
      </w:pPr>
      <w:r w:rsidRPr="727BFE15">
        <w:rPr>
          <w:i/>
          <w:iCs/>
        </w:rPr>
        <w:t>From the CPUC:</w:t>
      </w:r>
    </w:p>
    <w:p w14:paraId="0E4281ED" w14:textId="1B36E7B7" w:rsidR="00DE02CF" w:rsidRPr="00DE02CF" w:rsidRDefault="6C194484" w:rsidP="727BFE15">
      <w:pPr>
        <w:rPr>
          <w:i/>
          <w:iCs/>
        </w:rPr>
      </w:pPr>
      <w:r w:rsidRPr="727BFE15">
        <w:rPr>
          <w:i/>
          <w:iCs/>
        </w:rPr>
        <w:t>What are the potential financial, economic or other risks to the participating customer in this program and what customer protections does this proposal provide to mitigate customer/participant risk?</w:t>
      </w:r>
    </w:p>
    <w:p w14:paraId="4BFE75DF" w14:textId="1E59F059" w:rsidR="00126CED" w:rsidRDefault="5D5D4B19" w:rsidP="00126CED">
      <w:r>
        <w:t>Customer</w:t>
      </w:r>
      <w:r w:rsidR="53E42583">
        <w:t xml:space="preserve"> protection protocols </w:t>
      </w:r>
      <w:r w:rsidR="6C194484">
        <w:t xml:space="preserve">should </w:t>
      </w:r>
      <w:r w:rsidR="53E42583">
        <w:t xml:space="preserve">avoid or mitigate the following </w:t>
      </w:r>
      <w:r w:rsidR="12CBBA37">
        <w:t>customer</w:t>
      </w:r>
      <w:r w:rsidR="53E42583">
        <w:t>-facing risk factors:</w:t>
      </w:r>
    </w:p>
    <w:p w14:paraId="7BFCC65F" w14:textId="30C1CB59" w:rsidR="00126CED" w:rsidRDefault="0026667E" w:rsidP="006907F8">
      <w:pPr>
        <w:pStyle w:val="ListParagraph"/>
        <w:numPr>
          <w:ilvl w:val="0"/>
          <w:numId w:val="30"/>
        </w:numPr>
        <w:spacing w:before="80" w:line="276" w:lineRule="auto"/>
        <w:rPr>
          <w:szCs w:val="22"/>
        </w:rPr>
      </w:pPr>
      <w:r>
        <w:t>I</w:t>
      </w:r>
      <w:r w:rsidR="003425E2">
        <w:t>nstallation cost risks</w:t>
      </w:r>
    </w:p>
    <w:p w14:paraId="2B532CF7" w14:textId="3FF25747" w:rsidR="00126CED" w:rsidRDefault="5B3BEA98" w:rsidP="006907F8">
      <w:pPr>
        <w:pStyle w:val="ListParagraph"/>
        <w:numPr>
          <w:ilvl w:val="0"/>
          <w:numId w:val="30"/>
        </w:numPr>
        <w:spacing w:before="80" w:line="276" w:lineRule="auto"/>
      </w:pPr>
      <w:r>
        <w:t xml:space="preserve">Savings prediction </w:t>
      </w:r>
      <w:r w:rsidR="0A779915">
        <w:t>risks</w:t>
      </w:r>
      <w:r w:rsidR="6C194484">
        <w:t xml:space="preserve">—that is, </w:t>
      </w:r>
      <w:r w:rsidR="0A779915">
        <w:t>the risk that c</w:t>
      </w:r>
      <w:r w:rsidR="53E42583">
        <w:t>ost recovery charges</w:t>
      </w:r>
      <w:r>
        <w:t xml:space="preserve"> based on estimated savings</w:t>
      </w:r>
      <w:r w:rsidR="53E42583">
        <w:t xml:space="preserve"> </w:t>
      </w:r>
      <w:r w:rsidR="0A779915">
        <w:t>will</w:t>
      </w:r>
      <w:r w:rsidR="53E42583">
        <w:t xml:space="preserve"> exceed the </w:t>
      </w:r>
      <w:r w:rsidR="1CB79E47">
        <w:t xml:space="preserve">metered </w:t>
      </w:r>
      <w:r w:rsidR="53E42583">
        <w:t xml:space="preserve">bill </w:t>
      </w:r>
      <w:r w:rsidR="1CB79E47">
        <w:t>savings attributable to the upgrades</w:t>
      </w:r>
    </w:p>
    <w:p w14:paraId="578F9F47" w14:textId="0EE3CA69" w:rsidR="00B73EA5" w:rsidRDefault="00B73EA5" w:rsidP="00B73EA5">
      <w:pPr>
        <w:pStyle w:val="ListParagraph"/>
        <w:numPr>
          <w:ilvl w:val="0"/>
          <w:numId w:val="30"/>
        </w:numPr>
        <w:spacing w:before="80" w:line="276" w:lineRule="auto"/>
        <w:rPr>
          <w:rFonts w:eastAsiaTheme="minorEastAsia" w:cstheme="minorBidi"/>
          <w:szCs w:val="22"/>
        </w:rPr>
      </w:pPr>
      <w:r>
        <w:t>Equipment operating and maintenance risks</w:t>
      </w:r>
    </w:p>
    <w:p w14:paraId="0492657C" w14:textId="5D1E9A2F" w:rsidR="0068244E" w:rsidRDefault="0068244E" w:rsidP="006907F8">
      <w:pPr>
        <w:pStyle w:val="ListParagraph"/>
        <w:numPr>
          <w:ilvl w:val="0"/>
          <w:numId w:val="30"/>
        </w:numPr>
        <w:spacing w:before="80" w:line="276" w:lineRule="auto"/>
        <w:rPr>
          <w:rFonts w:eastAsiaTheme="minorEastAsia" w:cstheme="minorBidi"/>
          <w:szCs w:val="22"/>
        </w:rPr>
      </w:pPr>
      <w:r w:rsidRPr="0068244E">
        <w:rPr>
          <w:rFonts w:eastAsiaTheme="minorEastAsia" w:cstheme="minorBidi"/>
          <w:szCs w:val="22"/>
        </w:rPr>
        <w:t>Cost shifts from landlords to tenants</w:t>
      </w:r>
    </w:p>
    <w:p w14:paraId="7A0DE84B" w14:textId="4A324531" w:rsidR="00C97A3E" w:rsidRPr="0068244E" w:rsidRDefault="00C97A3E" w:rsidP="006907F8">
      <w:pPr>
        <w:pStyle w:val="ListParagraph"/>
        <w:numPr>
          <w:ilvl w:val="0"/>
          <w:numId w:val="30"/>
        </w:numPr>
        <w:spacing w:before="80" w:line="276" w:lineRule="auto"/>
        <w:rPr>
          <w:rFonts w:eastAsiaTheme="minorEastAsia" w:cstheme="minorBidi"/>
          <w:szCs w:val="22"/>
        </w:rPr>
      </w:pPr>
      <w:r>
        <w:rPr>
          <w:rFonts w:eastAsiaTheme="minorEastAsia" w:cstheme="minorBidi"/>
          <w:szCs w:val="22"/>
        </w:rPr>
        <w:t>Notifications to successor customers</w:t>
      </w:r>
    </w:p>
    <w:p w14:paraId="66FE3F46" w14:textId="35C51707" w:rsidR="005A5077" w:rsidRPr="005A5077" w:rsidRDefault="1012A9FE" w:rsidP="005A5077">
      <w:pPr>
        <w:pStyle w:val="NormalWeb"/>
      </w:pPr>
      <w:r>
        <w:t xml:space="preserve">TOB participants are never at risk of losing their homes or having installed upgrades repossessed because the </w:t>
      </w:r>
      <w:r w:rsidR="6C194484">
        <w:t>P</w:t>
      </w:r>
      <w:r>
        <w:t xml:space="preserve">rogram does not rely on either the home or the installed upgrades as collateral. The </w:t>
      </w:r>
      <w:r w:rsidR="6C194484">
        <w:t>P</w:t>
      </w:r>
      <w:r>
        <w:t xml:space="preserve">rogram attaches no liens and there is no threat of foreclosure or equipment repossession. </w:t>
      </w:r>
    </w:p>
    <w:p w14:paraId="19EF5C60" w14:textId="2876BC55" w:rsidR="00126CED" w:rsidRPr="00E13F42" w:rsidRDefault="00126CED" w:rsidP="00E13F42">
      <w:pPr>
        <w:pStyle w:val="Heading3"/>
      </w:pPr>
      <w:r w:rsidRPr="00E13F42">
        <w:rPr>
          <w:rStyle w:val="Heading4Char"/>
          <w:rFonts w:asciiTheme="majorHAnsi" w:eastAsiaTheme="majorEastAsia" w:hAnsiTheme="majorHAnsi" w:cstheme="majorBidi"/>
          <w:b/>
          <w:bCs/>
          <w:caps w:val="0"/>
          <w:color w:val="056177" w:themeColor="accent1" w:themeShade="80"/>
          <w:spacing w:val="0"/>
          <w:sz w:val="24"/>
          <w:szCs w:val="24"/>
        </w:rPr>
        <w:t>Installation</w:t>
      </w:r>
      <w:r w:rsidRPr="00E13F42">
        <w:t xml:space="preserve"> Cost Risks</w:t>
      </w:r>
    </w:p>
    <w:p w14:paraId="75883173" w14:textId="2EB22D27" w:rsidR="00B55A70" w:rsidRDefault="7286D1A4" w:rsidP="727BFE15">
      <w:pPr>
        <w:rPr>
          <w:rFonts w:eastAsia="Lato"/>
        </w:rPr>
      </w:pPr>
      <w:r w:rsidRPr="727BFE15">
        <w:rPr>
          <w:rFonts w:eastAsia="Lato"/>
        </w:rPr>
        <w:t>Unlike debt-based forms of capital finance, tariffed on-bill investments incorporate an inherent throttle on capital costs because the available TOB capital is limited to less than the</w:t>
      </w:r>
      <w:r w:rsidR="713D1387" w:rsidRPr="727BFE15">
        <w:rPr>
          <w:rFonts w:eastAsia="Lato"/>
        </w:rPr>
        <w:t xml:space="preserve"> Customer’s</w:t>
      </w:r>
      <w:r w:rsidRPr="727BFE15">
        <w:rPr>
          <w:rFonts w:eastAsia="Lato"/>
        </w:rPr>
        <w:t xml:space="preserve"> expected savings</w:t>
      </w:r>
      <w:r w:rsidR="03AA645E" w:rsidRPr="727BFE15">
        <w:rPr>
          <w:rFonts w:eastAsia="Lato"/>
        </w:rPr>
        <w:t xml:space="preserve"> throughout the life of the installed measures</w:t>
      </w:r>
      <w:r w:rsidRPr="727BFE15">
        <w:rPr>
          <w:rFonts w:eastAsia="Lato"/>
        </w:rPr>
        <w:t xml:space="preserve">. In addition, the Program adopts a contracting and service delivery model that removes opportunities for abuse that could occur if the sales agent’s compensation were linked to the scope and profitability of the project. </w:t>
      </w:r>
    </w:p>
    <w:p w14:paraId="29AC94A5" w14:textId="3485367D" w:rsidR="00240E52" w:rsidRPr="00240E52" w:rsidRDefault="00240E52" w:rsidP="00240E52">
      <w:pPr>
        <w:rPr>
          <w:rFonts w:eastAsia="Lato"/>
          <w:szCs w:val="22"/>
        </w:rPr>
      </w:pPr>
      <w:r w:rsidRPr="00240E52">
        <w:rPr>
          <w:rFonts w:eastAsia="Lato"/>
          <w:szCs w:val="22"/>
        </w:rPr>
        <w:t>Consider the following scenarios:</w:t>
      </w:r>
    </w:p>
    <w:p w14:paraId="36885DF9" w14:textId="6CCED333" w:rsidR="00196315" w:rsidRDefault="3DDBF426" w:rsidP="727BFE15">
      <w:pPr>
        <w:pStyle w:val="ListParagraph"/>
        <w:numPr>
          <w:ilvl w:val="0"/>
          <w:numId w:val="36"/>
        </w:numPr>
        <w:rPr>
          <w:rFonts w:eastAsia="Lato"/>
        </w:rPr>
      </w:pPr>
      <w:r w:rsidRPr="727BFE15">
        <w:rPr>
          <w:rFonts w:eastAsia="Lato"/>
        </w:rPr>
        <w:t>In cases</w:t>
      </w:r>
      <w:r w:rsidR="0249A93B" w:rsidRPr="727BFE15">
        <w:rPr>
          <w:rFonts w:eastAsia="Lato"/>
        </w:rPr>
        <w:t xml:space="preserve"> where the combination of publicly funded incentives</w:t>
      </w:r>
      <w:r w:rsidR="03AA645E" w:rsidRPr="727BFE15">
        <w:rPr>
          <w:rFonts w:eastAsia="Lato"/>
        </w:rPr>
        <w:t>,</w:t>
      </w:r>
      <w:r w:rsidR="0249A93B" w:rsidRPr="727BFE15">
        <w:rPr>
          <w:rFonts w:eastAsia="Lato"/>
        </w:rPr>
        <w:t xml:space="preserve"> plus available TOB capital</w:t>
      </w:r>
      <w:r w:rsidR="03AA645E" w:rsidRPr="727BFE15">
        <w:rPr>
          <w:rFonts w:eastAsia="Lato"/>
        </w:rPr>
        <w:t>,</w:t>
      </w:r>
      <w:r w:rsidR="0249A93B" w:rsidRPr="727BFE15">
        <w:rPr>
          <w:rFonts w:eastAsia="Lato"/>
        </w:rPr>
        <w:t xml:space="preserve"> is more than sufficient to cover the full project installation cost with no customer co</w:t>
      </w:r>
      <w:r w:rsidR="03AA645E" w:rsidRPr="727BFE15">
        <w:rPr>
          <w:rFonts w:eastAsia="Lato"/>
        </w:rPr>
        <w:t>-</w:t>
      </w:r>
      <w:r w:rsidR="0249A93B" w:rsidRPr="727BFE15">
        <w:rPr>
          <w:rFonts w:eastAsia="Lato"/>
        </w:rPr>
        <w:t>pay,</w:t>
      </w:r>
      <w:r w:rsidR="6BCA9F05" w:rsidRPr="727BFE15">
        <w:rPr>
          <w:rFonts w:eastAsia="Lato"/>
        </w:rPr>
        <w:t xml:space="preserve"> the </w:t>
      </w:r>
      <w:r w:rsidR="48FF2328" w:rsidRPr="727BFE15">
        <w:rPr>
          <w:rFonts w:eastAsia="Lato"/>
        </w:rPr>
        <w:t>sales agent</w:t>
      </w:r>
      <w:r w:rsidR="6BCA9F05" w:rsidRPr="727BFE15">
        <w:rPr>
          <w:rFonts w:eastAsia="Lato"/>
        </w:rPr>
        <w:t xml:space="preserve"> might be inclined to mark up</w:t>
      </w:r>
      <w:r w:rsidR="45B48F47" w:rsidRPr="727BFE15">
        <w:rPr>
          <w:rFonts w:eastAsia="Lato"/>
        </w:rPr>
        <w:t xml:space="preserve"> the installation bid price</w:t>
      </w:r>
      <w:r w:rsidR="6B107CCA" w:rsidRPr="727BFE15">
        <w:rPr>
          <w:rFonts w:eastAsia="Lato"/>
        </w:rPr>
        <w:t xml:space="preserve"> or propose unnecessary scope elements</w:t>
      </w:r>
      <w:r w:rsidR="45B48F47" w:rsidRPr="727BFE15">
        <w:rPr>
          <w:rFonts w:eastAsia="Lato"/>
        </w:rPr>
        <w:t xml:space="preserve"> to capture the surplus</w:t>
      </w:r>
      <w:r w:rsidR="55E98680" w:rsidRPr="727BFE15">
        <w:rPr>
          <w:rFonts w:eastAsia="Lato"/>
        </w:rPr>
        <w:t xml:space="preserve"> available funds</w:t>
      </w:r>
      <w:r w:rsidR="5F079CA4" w:rsidRPr="727BFE15">
        <w:rPr>
          <w:rFonts w:eastAsia="Lato"/>
        </w:rPr>
        <w:t>,</w:t>
      </w:r>
      <w:r w:rsidR="55E98680" w:rsidRPr="727BFE15">
        <w:rPr>
          <w:rFonts w:eastAsia="Lato"/>
        </w:rPr>
        <w:t xml:space="preserve"> rather than return those funds to the customer in the form of lower TOB </w:t>
      </w:r>
      <w:r w:rsidR="5F079CA4" w:rsidRPr="727BFE15">
        <w:rPr>
          <w:rFonts w:eastAsia="Lato"/>
        </w:rPr>
        <w:t>S</w:t>
      </w:r>
      <w:r w:rsidR="55E98680" w:rsidRPr="727BFE15">
        <w:rPr>
          <w:rFonts w:eastAsia="Lato"/>
        </w:rPr>
        <w:t xml:space="preserve">ervice </w:t>
      </w:r>
      <w:r w:rsidR="5F079CA4" w:rsidRPr="727BFE15">
        <w:rPr>
          <w:rFonts w:eastAsia="Lato"/>
        </w:rPr>
        <w:t>C</w:t>
      </w:r>
      <w:r w:rsidR="55E98680" w:rsidRPr="727BFE15">
        <w:rPr>
          <w:rFonts w:eastAsia="Lato"/>
        </w:rPr>
        <w:t>harges.</w:t>
      </w:r>
    </w:p>
    <w:p w14:paraId="4951234E" w14:textId="078C62F9" w:rsidR="006561F1" w:rsidRDefault="195A33C8" w:rsidP="727BFE15">
      <w:pPr>
        <w:pStyle w:val="ListParagraph"/>
        <w:numPr>
          <w:ilvl w:val="0"/>
          <w:numId w:val="36"/>
        </w:numPr>
        <w:rPr>
          <w:rFonts w:eastAsia="Lato"/>
        </w:rPr>
      </w:pPr>
      <w:r w:rsidRPr="727BFE15">
        <w:rPr>
          <w:rFonts w:eastAsia="Lato"/>
        </w:rPr>
        <w:t>In cases</w:t>
      </w:r>
      <w:r w:rsidR="24A6CB1C" w:rsidRPr="727BFE15">
        <w:rPr>
          <w:rFonts w:eastAsia="Lato"/>
        </w:rPr>
        <w:t xml:space="preserve"> where a customer co</w:t>
      </w:r>
      <w:r w:rsidR="5F079CA4" w:rsidRPr="727BFE15">
        <w:rPr>
          <w:rFonts w:eastAsia="Lato"/>
        </w:rPr>
        <w:t>-</w:t>
      </w:r>
      <w:r w:rsidR="24A6CB1C" w:rsidRPr="727BFE15">
        <w:rPr>
          <w:rFonts w:eastAsia="Lato"/>
        </w:rPr>
        <w:t>pay is required to</w:t>
      </w:r>
      <w:r w:rsidR="3152EE0F" w:rsidRPr="727BFE15">
        <w:rPr>
          <w:rFonts w:eastAsia="Lato"/>
        </w:rPr>
        <w:t xml:space="preserve"> cover the full installation costs, the </w:t>
      </w:r>
      <w:r w:rsidR="48FF2328" w:rsidRPr="727BFE15">
        <w:rPr>
          <w:rFonts w:eastAsia="Lato"/>
        </w:rPr>
        <w:t>sales agent</w:t>
      </w:r>
      <w:r w:rsidR="3152EE0F" w:rsidRPr="727BFE15">
        <w:rPr>
          <w:rFonts w:eastAsia="Lato"/>
        </w:rPr>
        <w:t xml:space="preserve"> might nevertheless be inclined to persuade the customer to accept a higher-than-necessary co</w:t>
      </w:r>
      <w:r w:rsidR="3D4D6C28" w:rsidRPr="727BFE15">
        <w:rPr>
          <w:rFonts w:eastAsia="Lato"/>
        </w:rPr>
        <w:t>-</w:t>
      </w:r>
      <w:r w:rsidR="3152EE0F" w:rsidRPr="727BFE15">
        <w:rPr>
          <w:rFonts w:eastAsia="Lato"/>
        </w:rPr>
        <w:t>payment to cover</w:t>
      </w:r>
      <w:r w:rsidR="6EC19B52" w:rsidRPr="727BFE15">
        <w:rPr>
          <w:rFonts w:eastAsia="Lato"/>
        </w:rPr>
        <w:t xml:space="preserve"> premium pricing and</w:t>
      </w:r>
      <w:r w:rsidR="3D4D6C28" w:rsidRPr="727BFE15">
        <w:rPr>
          <w:rFonts w:eastAsia="Lato"/>
        </w:rPr>
        <w:t xml:space="preserve"> </w:t>
      </w:r>
      <w:r w:rsidR="6EC19B52" w:rsidRPr="727BFE15">
        <w:rPr>
          <w:rFonts w:eastAsia="Lato"/>
        </w:rPr>
        <w:t>/</w:t>
      </w:r>
      <w:r w:rsidR="3D4D6C28" w:rsidRPr="727BFE15">
        <w:rPr>
          <w:rFonts w:eastAsia="Lato"/>
        </w:rPr>
        <w:t xml:space="preserve"> </w:t>
      </w:r>
      <w:r w:rsidR="6EC19B52" w:rsidRPr="727BFE15">
        <w:rPr>
          <w:rFonts w:eastAsia="Lato"/>
        </w:rPr>
        <w:t>or unnecessary scope.</w:t>
      </w:r>
    </w:p>
    <w:p w14:paraId="259FA0CF" w14:textId="14A4717F" w:rsidR="00554EB5" w:rsidRDefault="1A5EE046" w:rsidP="727BFE15">
      <w:pPr>
        <w:rPr>
          <w:rFonts w:eastAsia="Lato"/>
        </w:rPr>
      </w:pPr>
      <w:r w:rsidRPr="727BFE15">
        <w:rPr>
          <w:rFonts w:eastAsia="Lato"/>
        </w:rPr>
        <w:t>These risks are inherent</w:t>
      </w:r>
      <w:r w:rsidR="287FB9B0" w:rsidRPr="727BFE15">
        <w:rPr>
          <w:rFonts w:eastAsia="Lato"/>
        </w:rPr>
        <w:t xml:space="preserve"> in the standard bilateral </w:t>
      </w:r>
      <w:r w:rsidR="3D4D6C28" w:rsidRPr="727BFE15">
        <w:rPr>
          <w:rFonts w:eastAsia="Lato"/>
        </w:rPr>
        <w:t>C</w:t>
      </w:r>
      <w:r w:rsidR="287FB9B0" w:rsidRPr="727BFE15">
        <w:rPr>
          <w:rFonts w:eastAsia="Lato"/>
        </w:rPr>
        <w:t>ontractor-</w:t>
      </w:r>
      <w:r w:rsidR="3D4D6C28" w:rsidRPr="727BFE15">
        <w:rPr>
          <w:rFonts w:eastAsia="Lato"/>
        </w:rPr>
        <w:t>C</w:t>
      </w:r>
      <w:r w:rsidR="287FB9B0" w:rsidRPr="727BFE15">
        <w:rPr>
          <w:rFonts w:eastAsia="Lato"/>
        </w:rPr>
        <w:t xml:space="preserve">ustomer business </w:t>
      </w:r>
      <w:r w:rsidR="7A1A0369" w:rsidRPr="727BFE15">
        <w:rPr>
          <w:rFonts w:eastAsia="Lato"/>
        </w:rPr>
        <w:t>relationship,</w:t>
      </w:r>
      <w:r w:rsidR="287FB9B0" w:rsidRPr="727BFE15">
        <w:rPr>
          <w:rFonts w:eastAsia="Lato"/>
        </w:rPr>
        <w:t xml:space="preserve"> and they are the bases for</w:t>
      </w:r>
      <w:r w:rsidR="2ED7D24D" w:rsidRPr="727BFE15">
        <w:rPr>
          <w:rFonts w:eastAsia="Lato"/>
        </w:rPr>
        <w:t xml:space="preserve"> admonitions to </w:t>
      </w:r>
      <w:r w:rsidR="3D4D6C28" w:rsidRPr="727BFE15">
        <w:rPr>
          <w:rFonts w:eastAsia="Lato"/>
        </w:rPr>
        <w:t>C</w:t>
      </w:r>
      <w:r w:rsidR="2ED7D24D" w:rsidRPr="727BFE15">
        <w:rPr>
          <w:rFonts w:eastAsia="Lato"/>
        </w:rPr>
        <w:t xml:space="preserve">ustomers to seek multiple bids. </w:t>
      </w:r>
      <w:r w:rsidR="1ACD85AC" w:rsidRPr="727BFE15">
        <w:rPr>
          <w:rFonts w:eastAsia="Lato"/>
        </w:rPr>
        <w:t xml:space="preserve">The </w:t>
      </w:r>
      <w:r w:rsidR="7A1A0369" w:rsidRPr="727BFE15">
        <w:rPr>
          <w:rFonts w:eastAsia="Lato"/>
        </w:rPr>
        <w:t>Program avoids these risks by</w:t>
      </w:r>
      <w:r w:rsidR="175BEFAD" w:rsidRPr="727BFE15">
        <w:rPr>
          <w:rFonts w:eastAsia="Lato"/>
        </w:rPr>
        <w:t xml:space="preserve"> designating a Program Operator as the Program Sponsor’s agent and assigning the Program Operator full responsibility for </w:t>
      </w:r>
      <w:r w:rsidR="3D4D6C28" w:rsidRPr="727BFE15">
        <w:rPr>
          <w:rFonts w:eastAsia="Lato"/>
        </w:rPr>
        <w:t>C</w:t>
      </w:r>
      <w:r w:rsidR="175BEFAD" w:rsidRPr="727BFE15">
        <w:rPr>
          <w:rFonts w:eastAsia="Lato"/>
        </w:rPr>
        <w:t>ustomer acquisition and project scope development.</w:t>
      </w:r>
      <w:r w:rsidR="3865EDAF" w:rsidRPr="727BFE15">
        <w:rPr>
          <w:rFonts w:eastAsia="Lato"/>
        </w:rPr>
        <w:t xml:space="preserve"> Installation costs are determined </w:t>
      </w:r>
      <w:r w:rsidR="3D4D6C28" w:rsidRPr="727BFE15">
        <w:rPr>
          <w:rFonts w:eastAsia="Lato"/>
        </w:rPr>
        <w:t xml:space="preserve">from </w:t>
      </w:r>
      <w:r w:rsidR="3865EDAF" w:rsidRPr="727BFE15">
        <w:rPr>
          <w:rFonts w:eastAsia="Lato"/>
        </w:rPr>
        <w:t xml:space="preserve">a </w:t>
      </w:r>
      <w:r w:rsidR="3D4D6C28" w:rsidRPr="727BFE15">
        <w:rPr>
          <w:rFonts w:eastAsia="Lato"/>
        </w:rPr>
        <w:t xml:space="preserve">negotiated </w:t>
      </w:r>
      <w:r w:rsidR="3865EDAF" w:rsidRPr="727BFE15">
        <w:rPr>
          <w:rFonts w:eastAsia="Lato"/>
        </w:rPr>
        <w:t>fee schedule</w:t>
      </w:r>
      <w:r w:rsidR="3D4D6C28" w:rsidRPr="727BFE15">
        <w:rPr>
          <w:rFonts w:eastAsia="Lato"/>
        </w:rPr>
        <w:t>,</w:t>
      </w:r>
      <w:r w:rsidR="3865EDAF" w:rsidRPr="727BFE15">
        <w:rPr>
          <w:rFonts w:eastAsia="Lato"/>
        </w:rPr>
        <w:t xml:space="preserve"> rather than project</w:t>
      </w:r>
      <w:r w:rsidR="69936E8C" w:rsidRPr="727BFE15">
        <w:rPr>
          <w:rFonts w:eastAsia="Lato"/>
        </w:rPr>
        <w:t>-</w:t>
      </w:r>
      <w:r w:rsidR="3865EDAF" w:rsidRPr="727BFE15">
        <w:rPr>
          <w:rFonts w:eastAsia="Lato"/>
        </w:rPr>
        <w:t>by</w:t>
      </w:r>
      <w:r w:rsidR="69936E8C" w:rsidRPr="727BFE15">
        <w:rPr>
          <w:rFonts w:eastAsia="Lato"/>
        </w:rPr>
        <w:t>-</w:t>
      </w:r>
      <w:r w:rsidR="3865EDAF" w:rsidRPr="727BFE15">
        <w:rPr>
          <w:rFonts w:eastAsia="Lato"/>
        </w:rPr>
        <w:t xml:space="preserve">project. The Program’s </w:t>
      </w:r>
      <w:r w:rsidR="48FF2328" w:rsidRPr="727BFE15">
        <w:rPr>
          <w:rFonts w:eastAsia="Lato"/>
        </w:rPr>
        <w:t>sales agent compensation is</w:t>
      </w:r>
      <w:r w:rsidR="39586318" w:rsidRPr="727BFE15">
        <w:rPr>
          <w:rFonts w:eastAsia="Lato"/>
        </w:rPr>
        <w:t xml:space="preserve"> decoupled from project work scopes.</w:t>
      </w:r>
    </w:p>
    <w:p w14:paraId="239B74D6" w14:textId="11F2571A" w:rsidR="009B56EB" w:rsidRDefault="17B9A696" w:rsidP="727BFE15">
      <w:pPr>
        <w:rPr>
          <w:rFonts w:eastAsia="Lato"/>
        </w:rPr>
      </w:pPr>
      <w:r w:rsidRPr="727BFE15">
        <w:rPr>
          <w:rFonts w:eastAsia="Lato"/>
        </w:rPr>
        <w:t xml:space="preserve">The Program’s contract structure is illustrated in </w:t>
      </w:r>
      <w:r w:rsidRPr="727BFE15">
        <w:rPr>
          <w:rFonts w:eastAsia="Lato"/>
          <w:b/>
          <w:bCs/>
        </w:rPr>
        <w:t>Figure 2.</w:t>
      </w:r>
      <w:r w:rsidRPr="727BFE15">
        <w:rPr>
          <w:rFonts w:eastAsia="Lato"/>
        </w:rPr>
        <w:t xml:space="preserve"> A key aspect is that the installing contractor’s business relationship is with the Program Operator, not the </w:t>
      </w:r>
      <w:r w:rsidR="69936E8C" w:rsidRPr="727BFE15">
        <w:rPr>
          <w:rFonts w:eastAsia="Lato"/>
        </w:rPr>
        <w:t>C</w:t>
      </w:r>
      <w:r w:rsidRPr="727BFE15">
        <w:rPr>
          <w:rFonts w:eastAsia="Lato"/>
        </w:rPr>
        <w:t>ustomer.</w:t>
      </w:r>
    </w:p>
    <w:p w14:paraId="39D6A1D9" w14:textId="66DA175F" w:rsidR="00C32EFE" w:rsidRDefault="2A6937A0" w:rsidP="727BFE15">
      <w:pPr>
        <w:rPr>
          <w:rFonts w:eastAsia="Lato"/>
        </w:rPr>
      </w:pPr>
      <w:r>
        <w:rPr>
          <w:noProof/>
        </w:rPr>
        <w:drawing>
          <wp:inline distT="0" distB="0" distL="0" distR="0" wp14:anchorId="7285972A" wp14:editId="4EAE940C">
            <wp:extent cx="5938520" cy="3953206"/>
            <wp:effectExtent l="0" t="0" r="5080" b="9525"/>
            <wp:docPr id="538103619" name="Picture 53810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103619"/>
                    <pic:cNvPicPr/>
                  </pic:nvPicPr>
                  <pic:blipFill>
                    <a:blip r:embed="rId14">
                      <a:extLst>
                        <a:ext uri="{28A0092B-C50C-407E-A947-70E740481C1C}">
                          <a14:useLocalDpi xmlns:a14="http://schemas.microsoft.com/office/drawing/2010/main" val="0"/>
                        </a:ext>
                      </a:extLst>
                    </a:blip>
                    <a:stretch>
                      <a:fillRect/>
                    </a:stretch>
                  </pic:blipFill>
                  <pic:spPr>
                    <a:xfrm>
                      <a:off x="0" y="0"/>
                      <a:ext cx="5938520" cy="3953206"/>
                    </a:xfrm>
                    <a:prstGeom prst="rect">
                      <a:avLst/>
                    </a:prstGeom>
                  </pic:spPr>
                </pic:pic>
              </a:graphicData>
            </a:graphic>
          </wp:inline>
        </w:drawing>
      </w:r>
    </w:p>
    <w:p w14:paraId="1FEBA413" w14:textId="2CC709C2" w:rsidR="00BF062F" w:rsidRDefault="63C89B3E" w:rsidP="00BF062F">
      <w:pPr>
        <w:pStyle w:val="FigureCaption"/>
      </w:pPr>
      <w:r>
        <w:t>Figure 2. Program contract structure and capital flow.</w:t>
      </w:r>
    </w:p>
    <w:p w14:paraId="017382EE" w14:textId="31D7962B" w:rsidR="00C75571" w:rsidRDefault="3377CA87" w:rsidP="727BFE15">
      <w:pPr>
        <w:rPr>
          <w:rFonts w:eastAsia="Lato"/>
        </w:rPr>
      </w:pPr>
      <w:r>
        <w:t>In th</w:t>
      </w:r>
      <w:r w:rsidR="3A70910F">
        <w:t xml:space="preserve">is model, the </w:t>
      </w:r>
      <w:r>
        <w:t xml:space="preserve">Program </w:t>
      </w:r>
      <w:r w:rsidR="3A70910F">
        <w:t>O</w:t>
      </w:r>
      <w:r>
        <w:t xml:space="preserve">perator handles </w:t>
      </w:r>
      <w:r w:rsidR="755A40C7">
        <w:t>C</w:t>
      </w:r>
      <w:r>
        <w:t xml:space="preserve">ustomer acquisition and project planning, including site assessment, project scope and specifications development, site data collection, energy modeling, financial feasibility analysis, and determination of TOB capital contribution. </w:t>
      </w:r>
      <w:r w:rsidR="79EACF74">
        <w:t xml:space="preserve">The sales agent works for the Program Operator and the agent’s </w:t>
      </w:r>
      <w:r>
        <w:t xml:space="preserve">compensation </w:t>
      </w:r>
      <w:r w:rsidR="49CE7F60">
        <w:t xml:space="preserve">and performance metrics </w:t>
      </w:r>
      <w:r w:rsidR="6428DE56">
        <w:t xml:space="preserve">reward </w:t>
      </w:r>
      <w:r w:rsidR="755A40C7">
        <w:t>C</w:t>
      </w:r>
      <w:r>
        <w:t>ustomer protection</w:t>
      </w:r>
      <w:r w:rsidR="755A40C7">
        <w:t>,</w:t>
      </w:r>
      <w:r>
        <w:t xml:space="preserve"> </w:t>
      </w:r>
      <w:r w:rsidR="0A375237">
        <w:t xml:space="preserve">instead of </w:t>
      </w:r>
      <w:r>
        <w:t>maximizing sales</w:t>
      </w:r>
      <w:r w:rsidR="0A375237">
        <w:t xml:space="preserve"> volume or dollar value</w:t>
      </w:r>
      <w:r>
        <w:t>.</w:t>
      </w:r>
      <w:r w:rsidR="792E3D19">
        <w:t xml:space="preserve"> The i</w:t>
      </w:r>
      <w:r w:rsidR="792E3D19" w:rsidRPr="727BFE15">
        <w:rPr>
          <w:rFonts w:eastAsia="Lato"/>
        </w:rPr>
        <w:t>nstallation contractor's role is limited to installation services, based on the Program Operator’s pre-determined project scope and specifications. Financial compensation to the installer will be determined by a negotiated fee schedule.</w:t>
      </w:r>
    </w:p>
    <w:p w14:paraId="20A5A7A3" w14:textId="4C45CBE6" w:rsidR="00937284" w:rsidRPr="00937284" w:rsidRDefault="7A3847D3" w:rsidP="727BFE15">
      <w:pPr>
        <w:rPr>
          <w:rFonts w:eastAsiaTheme="minorEastAsia" w:cstheme="minorBidi"/>
        </w:rPr>
      </w:pPr>
      <w:r w:rsidRPr="727BFE15">
        <w:rPr>
          <w:rFonts w:eastAsiaTheme="minorEastAsia" w:cstheme="minorBidi"/>
        </w:rPr>
        <w:t>This delivery model also has</w:t>
      </w:r>
      <w:r w:rsidR="51C84299" w:rsidRPr="727BFE15">
        <w:rPr>
          <w:rFonts w:eastAsiaTheme="minorEastAsia" w:cstheme="minorBidi"/>
        </w:rPr>
        <w:t xml:space="preserve"> implications for installation contractor participation.</w:t>
      </w:r>
      <w:r w:rsidR="3346283A" w:rsidRPr="727BFE15">
        <w:rPr>
          <w:rFonts w:eastAsiaTheme="minorEastAsia" w:cstheme="minorBidi"/>
        </w:rPr>
        <w:t xml:space="preserve"> In this model, participating </w:t>
      </w:r>
      <w:r w:rsidR="31E9FBAA" w:rsidRPr="727BFE15">
        <w:rPr>
          <w:rFonts w:eastAsiaTheme="minorEastAsia" w:cstheme="minorBidi"/>
        </w:rPr>
        <w:t>C</w:t>
      </w:r>
      <w:r w:rsidR="3346283A" w:rsidRPr="727BFE15">
        <w:rPr>
          <w:rFonts w:eastAsiaTheme="minorEastAsia" w:cstheme="minorBidi"/>
        </w:rPr>
        <w:t>ustomers are not at liberty to select their own contractors</w:t>
      </w:r>
      <w:r w:rsidR="31E9FBAA" w:rsidRPr="727BFE15">
        <w:rPr>
          <w:rFonts w:eastAsiaTheme="minorEastAsia" w:cstheme="minorBidi"/>
        </w:rPr>
        <w:t>,</w:t>
      </w:r>
      <w:r w:rsidR="3346283A" w:rsidRPr="727BFE15">
        <w:rPr>
          <w:rFonts w:eastAsiaTheme="minorEastAsia" w:cstheme="minorBidi"/>
        </w:rPr>
        <w:t xml:space="preserve"> and </w:t>
      </w:r>
      <w:r w:rsidR="2752E7F8" w:rsidRPr="727BFE15">
        <w:rPr>
          <w:rFonts w:eastAsiaTheme="minorEastAsia" w:cstheme="minorBidi"/>
        </w:rPr>
        <w:t xml:space="preserve">participation is not open to any and all contractors who meet minimum eligibility requirements. Instead, the Program Operator will seek out the </w:t>
      </w:r>
      <w:r w:rsidR="2752E7F8" w:rsidRPr="727BFE15">
        <w:rPr>
          <w:rFonts w:eastAsia="Lato"/>
        </w:rPr>
        <w:t>best</w:t>
      </w:r>
      <w:r w:rsidR="31E9FBAA" w:rsidRPr="727BFE15">
        <w:rPr>
          <w:rFonts w:eastAsia="Lato"/>
        </w:rPr>
        <w:t>-</w:t>
      </w:r>
      <w:r w:rsidR="2752E7F8" w:rsidRPr="727BFE15">
        <w:rPr>
          <w:rFonts w:eastAsia="Lato"/>
        </w:rPr>
        <w:t>qualified and most price-competitive contractors</w:t>
      </w:r>
      <w:r w:rsidR="22AC603B" w:rsidRPr="727BFE15">
        <w:rPr>
          <w:rFonts w:eastAsia="Lato"/>
        </w:rPr>
        <w:t xml:space="preserve"> via a competitive Request for Qualifications</w:t>
      </w:r>
      <w:r w:rsidR="31E9FBAA" w:rsidRPr="727BFE15">
        <w:rPr>
          <w:rFonts w:eastAsia="Lato"/>
        </w:rPr>
        <w:t xml:space="preserve"> process</w:t>
      </w:r>
      <w:r w:rsidR="22AC603B" w:rsidRPr="727BFE15">
        <w:rPr>
          <w:rFonts w:eastAsia="Lato"/>
        </w:rPr>
        <w:t>. Selected contractors, in turn</w:t>
      </w:r>
      <w:r w:rsidR="2CFDB811" w:rsidRPr="727BFE15">
        <w:rPr>
          <w:rFonts w:eastAsia="Lato"/>
        </w:rPr>
        <w:t>, can expect to be assigned a substantial volume of work that</w:t>
      </w:r>
      <w:r w:rsidR="78DEFA34" w:rsidRPr="727BFE15">
        <w:rPr>
          <w:rFonts w:eastAsia="Lato"/>
        </w:rPr>
        <w:t xml:space="preserve"> rewards them for prioritizing</w:t>
      </w:r>
      <w:r w:rsidR="476FD90A" w:rsidRPr="727BFE15">
        <w:rPr>
          <w:rFonts w:eastAsia="Lato"/>
        </w:rPr>
        <w:t xml:space="preserve"> </w:t>
      </w:r>
      <w:r w:rsidR="07EBA28E" w:rsidRPr="727BFE15">
        <w:rPr>
          <w:rFonts w:eastAsia="Lato"/>
        </w:rPr>
        <w:t>the Program as a key client.</w:t>
      </w:r>
      <w:r w:rsidR="6428DE56" w:rsidRPr="727BFE15">
        <w:rPr>
          <w:rFonts w:eastAsia="Lato"/>
        </w:rPr>
        <w:t xml:space="preserve"> This model also relieves </w:t>
      </w:r>
      <w:r w:rsidR="7FBBA0C4" w:rsidRPr="727BFE15">
        <w:rPr>
          <w:rFonts w:eastAsia="Lato"/>
        </w:rPr>
        <w:t xml:space="preserve">contractors from soft costs, including customer acquisition costs, that otherwise drive up </w:t>
      </w:r>
      <w:r w:rsidR="57BD2200" w:rsidRPr="727BFE15">
        <w:rPr>
          <w:rFonts w:eastAsia="Lato"/>
        </w:rPr>
        <w:t xml:space="preserve">the </w:t>
      </w:r>
      <w:r w:rsidR="7FBBA0C4" w:rsidRPr="727BFE15">
        <w:rPr>
          <w:rFonts w:eastAsia="Lato"/>
        </w:rPr>
        <w:t>retail</w:t>
      </w:r>
      <w:r w:rsidR="57BD2200" w:rsidRPr="727BFE15">
        <w:rPr>
          <w:rFonts w:eastAsia="Lato"/>
        </w:rPr>
        <w:t xml:space="preserve"> prices </w:t>
      </w:r>
      <w:r w:rsidR="3C93D0CA" w:rsidRPr="727BFE15">
        <w:rPr>
          <w:rFonts w:eastAsia="Lato"/>
        </w:rPr>
        <w:t>C</w:t>
      </w:r>
      <w:r w:rsidR="57BD2200" w:rsidRPr="727BFE15">
        <w:rPr>
          <w:rFonts w:eastAsia="Lato"/>
        </w:rPr>
        <w:t>ustomers face for</w:t>
      </w:r>
      <w:r w:rsidR="7FBBA0C4" w:rsidRPr="727BFE15">
        <w:rPr>
          <w:rFonts w:eastAsia="Lato"/>
        </w:rPr>
        <w:t xml:space="preserve"> </w:t>
      </w:r>
      <w:r w:rsidR="57BD2200" w:rsidRPr="727BFE15">
        <w:rPr>
          <w:rFonts w:eastAsia="Lato"/>
        </w:rPr>
        <w:t xml:space="preserve">measure </w:t>
      </w:r>
      <w:r w:rsidR="7FBBA0C4" w:rsidRPr="727BFE15">
        <w:rPr>
          <w:rFonts w:eastAsia="Lato"/>
        </w:rPr>
        <w:t>installation</w:t>
      </w:r>
      <w:r w:rsidR="57BD2200" w:rsidRPr="727BFE15">
        <w:rPr>
          <w:rFonts w:eastAsia="Lato"/>
        </w:rPr>
        <w:t>.</w:t>
      </w:r>
    </w:p>
    <w:p w14:paraId="1CF48A19" w14:textId="2F06D0DA" w:rsidR="00126CED" w:rsidRDefault="00C97A3E" w:rsidP="00AC3369">
      <w:pPr>
        <w:pStyle w:val="Heading3"/>
        <w:rPr>
          <w:sz w:val="22"/>
          <w:szCs w:val="22"/>
        </w:rPr>
      </w:pPr>
      <w:r>
        <w:t>Savings Prediction</w:t>
      </w:r>
      <w:r w:rsidR="00126CED">
        <w:t xml:space="preserve"> Risks</w:t>
      </w:r>
    </w:p>
    <w:p w14:paraId="01700334" w14:textId="195BE50A" w:rsidR="00886861" w:rsidRPr="00F20154" w:rsidRDefault="53E42583" w:rsidP="00126CED">
      <w:r>
        <w:t xml:space="preserve">A tariffed on-bill investment is not a loan, but rather a </w:t>
      </w:r>
      <w:r w:rsidR="3C93D0CA">
        <w:t>U</w:t>
      </w:r>
      <w:r>
        <w:t xml:space="preserve">tility investment for which cost recovery is tied to the location served by the </w:t>
      </w:r>
      <w:r w:rsidR="3C93D0CA">
        <w:t>U</w:t>
      </w:r>
      <w:r>
        <w:t>tility</w:t>
      </w:r>
      <w:r w:rsidR="3C93D0CA">
        <w:t>,</w:t>
      </w:r>
      <w:r>
        <w:t xml:space="preserve"> according to terms set forth in a </w:t>
      </w:r>
      <w:r w:rsidR="3C93D0CA">
        <w:t>U</w:t>
      </w:r>
      <w:r>
        <w:t xml:space="preserve">tility tariff. The </w:t>
      </w:r>
      <w:r w:rsidR="0E348F48">
        <w:t>P</w:t>
      </w:r>
      <w:r>
        <w:t>rogram incorporates a cash-positive requirement as a central feature because it assures that the cost recovery charge functions as a shared savings mechanism rather than an additional financial obligation.</w:t>
      </w:r>
    </w:p>
    <w:p w14:paraId="029F6240" w14:textId="77777777" w:rsidR="00F20154" w:rsidRPr="00B07D58" w:rsidRDefault="0E348F48" w:rsidP="727BFE15">
      <w:pPr>
        <w:rPr>
          <w:i/>
          <w:iCs/>
        </w:rPr>
      </w:pPr>
      <w:r w:rsidRPr="727BFE15">
        <w:rPr>
          <w:i/>
          <w:iCs/>
        </w:rPr>
        <w:t xml:space="preserve">From </w:t>
      </w:r>
      <w:r w:rsidR="0F00F0C7" w:rsidRPr="727BFE15">
        <w:rPr>
          <w:i/>
          <w:iCs/>
        </w:rPr>
        <w:t>TECH Clean California:</w:t>
      </w:r>
    </w:p>
    <w:p w14:paraId="547A8C45" w14:textId="3DD43128" w:rsidR="00F20154" w:rsidRPr="004F203A" w:rsidRDefault="0F00F0C7" w:rsidP="00A17426">
      <w:pPr>
        <w:pStyle w:val="CommentText"/>
      </w:pPr>
      <w:r>
        <w:t xml:space="preserve">The wording below is the default Pay As You Save formula. The TECH team recommends that the Service Charge remain capped at no more than 80 of annual savings, but the term could extend to the full expected life of the installed measures, if the </w:t>
      </w:r>
      <w:r w:rsidRPr="727BFE15">
        <w:rPr>
          <w:sz w:val="21"/>
          <w:szCs w:val="21"/>
        </w:rPr>
        <w:t>P</w:t>
      </w:r>
      <w:r>
        <w:t>rogram incorporates operations and maintenance protections, as described</w:t>
      </w:r>
      <w:r w:rsidR="4ED134F5">
        <w:t xml:space="preserve"> here.</w:t>
      </w:r>
    </w:p>
    <w:p w14:paraId="7E03CA0F" w14:textId="42F4EED0" w:rsidR="00C96225" w:rsidRPr="00F20154" w:rsidRDefault="4ED134F5" w:rsidP="00126CED">
      <w:r>
        <w:t>[</w:t>
      </w:r>
      <w:r w:rsidR="14EFB9D9">
        <w:t xml:space="preserve">Specifically, </w:t>
      </w:r>
      <w:r w:rsidR="14EFB9D9" w:rsidRPr="727BFE15">
        <w:rPr>
          <w:rFonts w:eastAsia="Lato"/>
        </w:rPr>
        <w:t>the</w:t>
      </w:r>
      <w:r w:rsidR="0B105E7D" w:rsidRPr="727BFE15">
        <w:rPr>
          <w:rFonts w:eastAsia="Lato"/>
        </w:rPr>
        <w:t xml:space="preserve"> Program adopts an 80</w:t>
      </w:r>
      <w:r w:rsidRPr="727BFE15">
        <w:rPr>
          <w:rFonts w:eastAsia="Lato"/>
        </w:rPr>
        <w:t xml:space="preserve"> </w:t>
      </w:r>
      <w:r w:rsidR="0B105E7D" w:rsidRPr="727BFE15">
        <w:rPr>
          <w:rFonts w:eastAsia="Lato"/>
        </w:rPr>
        <w:t>/</w:t>
      </w:r>
      <w:r w:rsidRPr="727BFE15">
        <w:rPr>
          <w:rFonts w:eastAsia="Lato"/>
        </w:rPr>
        <w:t xml:space="preserve"> </w:t>
      </w:r>
      <w:r w:rsidR="6ECD9F6F" w:rsidRPr="727BFE15">
        <w:rPr>
          <w:rFonts w:eastAsia="Lato"/>
        </w:rPr>
        <w:t>8</w:t>
      </w:r>
      <w:r w:rsidR="0B105E7D" w:rsidRPr="727BFE15">
        <w:rPr>
          <w:rFonts w:eastAsia="Lato"/>
        </w:rPr>
        <w:t>0 rule, in which</w:t>
      </w:r>
      <w:r w:rsidR="4DFB4AD1" w:rsidRPr="727BFE15">
        <w:rPr>
          <w:rFonts w:eastAsia="Lato"/>
        </w:rPr>
        <w:t xml:space="preserve"> the</w:t>
      </w:r>
      <w:r w:rsidR="4FC06264" w:rsidRPr="727BFE15">
        <w:rPr>
          <w:rFonts w:eastAsia="Lato"/>
        </w:rPr>
        <w:t xml:space="preserve"> annualized Program Service Charge </w:t>
      </w:r>
      <w:r w:rsidR="14EFB9D9" w:rsidRPr="727BFE15">
        <w:rPr>
          <w:rFonts w:eastAsia="Lato"/>
        </w:rPr>
        <w:t xml:space="preserve">is limited to less than 80 percent of the expected annual utility bill savings and </w:t>
      </w:r>
      <w:r w:rsidR="5F66CB4E" w:rsidRPr="727BFE15">
        <w:rPr>
          <w:rFonts w:eastAsia="Lato"/>
        </w:rPr>
        <w:t xml:space="preserve">the </w:t>
      </w:r>
      <w:r w:rsidR="4FC06264" w:rsidRPr="727BFE15">
        <w:rPr>
          <w:rFonts w:eastAsia="Lato"/>
        </w:rPr>
        <w:t xml:space="preserve">total </w:t>
      </w:r>
      <w:r w:rsidR="5F66CB4E" w:rsidRPr="727BFE15">
        <w:rPr>
          <w:rFonts w:eastAsia="Lato"/>
        </w:rPr>
        <w:t xml:space="preserve">available TOB capital is limited to less </w:t>
      </w:r>
      <w:r w:rsidR="4FC06264" w:rsidRPr="727BFE15">
        <w:rPr>
          <w:rFonts w:eastAsia="Lato"/>
        </w:rPr>
        <w:t xml:space="preserve">than </w:t>
      </w:r>
      <w:r w:rsidR="14EFB9D9" w:rsidRPr="727BFE15">
        <w:rPr>
          <w:rFonts w:eastAsia="Lato"/>
        </w:rPr>
        <w:t>64 percent of the expected lifecycle savings (</w:t>
      </w:r>
      <w:r w:rsidRPr="727BFE15">
        <w:rPr>
          <w:rFonts w:eastAsia="Lato"/>
        </w:rPr>
        <w:t xml:space="preserve">that is, </w:t>
      </w:r>
      <w:r w:rsidR="14EFB9D9" w:rsidRPr="727BFE15">
        <w:rPr>
          <w:rFonts w:eastAsia="Lato"/>
        </w:rPr>
        <w:t>80 percent of annual savings multiplied by 80 percent of the expected useful life)</w:t>
      </w:r>
      <w:r w:rsidR="476964B7" w:rsidRPr="727BFE15">
        <w:rPr>
          <w:rFonts w:eastAsia="Lato"/>
        </w:rPr>
        <w:t>.</w:t>
      </w:r>
      <w:r w:rsidR="10DAD554" w:rsidRPr="727BFE15">
        <w:rPr>
          <w:rFonts w:eastAsia="Lato"/>
        </w:rPr>
        <w:t>]</w:t>
      </w:r>
      <w:r w:rsidR="00E5047E">
        <w:rPr>
          <w:rStyle w:val="FootnoteReference"/>
          <w:rFonts w:eastAsia="Lato"/>
        </w:rPr>
        <w:footnoteReference w:id="39"/>
      </w:r>
    </w:p>
    <w:p w14:paraId="6C62A989" w14:textId="49163DB9" w:rsidR="00126CED" w:rsidRDefault="53E42583" w:rsidP="00126CED">
      <w:r>
        <w:t xml:space="preserve">In practice, </w:t>
      </w:r>
      <w:r w:rsidR="02C925F6">
        <w:t xml:space="preserve">the </w:t>
      </w:r>
      <w:r>
        <w:t xml:space="preserve">cash-positive </w:t>
      </w:r>
      <w:r w:rsidR="528127FB">
        <w:t xml:space="preserve">requirement </w:t>
      </w:r>
      <w:r>
        <w:t xml:space="preserve">offers multiple benefits to </w:t>
      </w:r>
      <w:r w:rsidR="10DAD554">
        <w:t>P</w:t>
      </w:r>
      <w:r>
        <w:t>rogram sponsors and participants.</w:t>
      </w:r>
    </w:p>
    <w:p w14:paraId="200EDF69" w14:textId="064D7671" w:rsidR="00126CED" w:rsidRDefault="40AC4003" w:rsidP="006907F8">
      <w:pPr>
        <w:pStyle w:val="ListParagraph"/>
        <w:numPr>
          <w:ilvl w:val="0"/>
          <w:numId w:val="28"/>
        </w:numPr>
        <w:spacing w:line="276" w:lineRule="auto"/>
      </w:pPr>
      <w:r w:rsidRPr="727BFE15">
        <w:rPr>
          <w:b/>
          <w:bCs/>
        </w:rPr>
        <w:t>Customer</w:t>
      </w:r>
      <w:r w:rsidR="53E42583" w:rsidRPr="727BFE15">
        <w:rPr>
          <w:b/>
          <w:bCs/>
        </w:rPr>
        <w:t xml:space="preserve"> protection. </w:t>
      </w:r>
      <w:r w:rsidR="53E42583">
        <w:t>The cash</w:t>
      </w:r>
      <w:r w:rsidR="10DAD554">
        <w:t>-</w:t>
      </w:r>
      <w:r w:rsidR="53E42583">
        <w:t xml:space="preserve">positive requirement </w:t>
      </w:r>
      <w:r w:rsidR="10DAD554">
        <w:t xml:space="preserve">is </w:t>
      </w:r>
      <w:r w:rsidR="53E42583">
        <w:t xml:space="preserve">an important </w:t>
      </w:r>
      <w:r w:rsidR="10DAD554">
        <w:t>C</w:t>
      </w:r>
      <w:r>
        <w:t>ustomer protection</w:t>
      </w:r>
      <w:r w:rsidR="53E42583">
        <w:t xml:space="preserve"> </w:t>
      </w:r>
      <w:r w:rsidR="10DAD554">
        <w:t xml:space="preserve">because it ensures that </w:t>
      </w:r>
      <w:r w:rsidR="53E42583">
        <w:t xml:space="preserve">households do not incur higher </w:t>
      </w:r>
      <w:r w:rsidR="75F306B4">
        <w:t xml:space="preserve">energy burdens as a consequence of </w:t>
      </w:r>
      <w:r w:rsidR="53E42583">
        <w:t>their energy service</w:t>
      </w:r>
      <w:r w:rsidR="6383420C">
        <w:t xml:space="preserve"> improvements</w:t>
      </w:r>
      <w:r w:rsidR="53E42583">
        <w:t>.</w:t>
      </w:r>
      <w:r w:rsidR="4B2F3BEF">
        <w:t xml:space="preserve"> Customers are not asked to take on any new financial obligation beyond the commitments they accepted as part of their subscription to </w:t>
      </w:r>
      <w:r w:rsidR="10DAD554">
        <w:t>U</w:t>
      </w:r>
      <w:r w:rsidR="4B2F3BEF">
        <w:t>tility services.</w:t>
      </w:r>
    </w:p>
    <w:p w14:paraId="759D95AF" w14:textId="43DD79F0" w:rsidR="00126CED" w:rsidRDefault="53E42583" w:rsidP="006907F8">
      <w:pPr>
        <w:pStyle w:val="ListParagraph"/>
        <w:numPr>
          <w:ilvl w:val="0"/>
          <w:numId w:val="28"/>
        </w:numPr>
        <w:spacing w:line="276" w:lineRule="auto"/>
      </w:pPr>
      <w:r w:rsidRPr="727BFE15">
        <w:rPr>
          <w:b/>
          <w:bCs/>
        </w:rPr>
        <w:t>Shared benefits.</w:t>
      </w:r>
      <w:r>
        <w:t xml:space="preserve"> Participants should share in the benefits of decarbonization, including joining in co-benefits that improve health, comfort, and safety. Low</w:t>
      </w:r>
      <w:r w:rsidR="10DAD554">
        <w:t>-</w:t>
      </w:r>
      <w:r>
        <w:t>income and disadvantaged communities should not be precluded from participating in solutions</w:t>
      </w:r>
      <w:r w:rsidR="10DAD554">
        <w:t>,</w:t>
      </w:r>
      <w:r>
        <w:t xml:space="preserve"> just because </w:t>
      </w:r>
      <w:r w:rsidR="10DAD554">
        <w:t xml:space="preserve">they face </w:t>
      </w:r>
      <w:r>
        <w:t>barriers to</w:t>
      </w:r>
      <w:r w:rsidR="10DAD554">
        <w:t xml:space="preserve"> using</w:t>
      </w:r>
      <w:r>
        <w:t xml:space="preserve"> traditional forms of consumer finance or home ownership.</w:t>
      </w:r>
    </w:p>
    <w:p w14:paraId="398452E9" w14:textId="4B6645FD" w:rsidR="00126CED" w:rsidRDefault="53E42583" w:rsidP="006907F8">
      <w:pPr>
        <w:pStyle w:val="ListParagraph"/>
        <w:numPr>
          <w:ilvl w:val="0"/>
          <w:numId w:val="28"/>
        </w:numPr>
        <w:spacing w:line="276" w:lineRule="auto"/>
      </w:pPr>
      <w:r w:rsidRPr="727BFE15">
        <w:rPr>
          <w:b/>
          <w:bCs/>
        </w:rPr>
        <w:t xml:space="preserve">Higher </w:t>
      </w:r>
      <w:r w:rsidR="10DAD554" w:rsidRPr="727BFE15">
        <w:rPr>
          <w:b/>
          <w:bCs/>
        </w:rPr>
        <w:t>C</w:t>
      </w:r>
      <w:r w:rsidRPr="727BFE15">
        <w:rPr>
          <w:b/>
          <w:bCs/>
        </w:rPr>
        <w:t>ustomer acceptance rates.</w:t>
      </w:r>
      <w:r>
        <w:t xml:space="preserve"> Based on prior </w:t>
      </w:r>
      <w:r w:rsidR="10DAD554">
        <w:t>p</w:t>
      </w:r>
      <w:r>
        <w:t xml:space="preserve">rogram experience, assurance of positive cash flows is expected to support higher rates of customer acceptance of </w:t>
      </w:r>
      <w:r w:rsidR="10DAD554">
        <w:t>P</w:t>
      </w:r>
      <w:r>
        <w:t>rogram offers</w:t>
      </w:r>
      <w:r w:rsidR="4B2F3BEF">
        <w:t>, compared to conventional loan programs and market</w:t>
      </w:r>
      <w:r w:rsidR="10DAD554">
        <w:t xml:space="preserve"> </w:t>
      </w:r>
      <w:r w:rsidR="4B2F3BEF">
        <w:t>rate incentives</w:t>
      </w:r>
      <w:r>
        <w:t>.</w:t>
      </w:r>
    </w:p>
    <w:p w14:paraId="246D83B2" w14:textId="743FA9DD" w:rsidR="00126CED" w:rsidRDefault="53E42583" w:rsidP="006907F8">
      <w:pPr>
        <w:pStyle w:val="ListParagraph"/>
        <w:numPr>
          <w:ilvl w:val="0"/>
          <w:numId w:val="28"/>
        </w:numPr>
        <w:spacing w:line="276" w:lineRule="auto"/>
      </w:pPr>
      <w:r w:rsidRPr="727BFE15">
        <w:rPr>
          <w:b/>
          <w:bCs/>
        </w:rPr>
        <w:t>Risk management.</w:t>
      </w:r>
      <w:r>
        <w:t xml:space="preserve"> </w:t>
      </w:r>
      <w:r w:rsidR="10DAD554">
        <w:t>Es</w:t>
      </w:r>
      <w:r>
        <w:t>timates of future energy savings are subject to uncertainty. Instituting a cash</w:t>
      </w:r>
      <w:r w:rsidR="10DAD554">
        <w:t>-</w:t>
      </w:r>
      <w:r>
        <w:t xml:space="preserve">positive requirement thus provides a safety margin to households for performance risks. </w:t>
      </w:r>
    </w:p>
    <w:p w14:paraId="18620F58" w14:textId="47F357CE" w:rsidR="00126CED" w:rsidRDefault="53E42583" w:rsidP="00126CED">
      <w:r w:rsidRPr="727BFE15">
        <w:rPr>
          <w:rFonts w:eastAsia="Times New Roman"/>
          <w:color w:val="000000"/>
        </w:rPr>
        <w:t xml:space="preserve">TOB necessarily involves estimation of future energy savings to inform a project investment plan and shared savings proposal to the </w:t>
      </w:r>
      <w:r w:rsidR="0517C347" w:rsidRPr="727BFE15">
        <w:rPr>
          <w:rFonts w:eastAsia="Times New Roman"/>
          <w:color w:val="000000"/>
        </w:rPr>
        <w:t>Cu</w:t>
      </w:r>
      <w:r w:rsidRPr="727BFE15">
        <w:rPr>
          <w:rFonts w:eastAsia="Times New Roman"/>
          <w:color w:val="000000"/>
        </w:rPr>
        <w:t>stomer. There is a</w:t>
      </w:r>
      <w:r w:rsidR="6E1097A8" w:rsidRPr="727BFE15">
        <w:rPr>
          <w:rFonts w:eastAsia="Times New Roman"/>
          <w:color w:val="000000"/>
        </w:rPr>
        <w:t>n inherent</w:t>
      </w:r>
      <w:r w:rsidRPr="727BFE15">
        <w:rPr>
          <w:rFonts w:eastAsia="Times New Roman"/>
          <w:color w:val="000000"/>
        </w:rPr>
        <w:t xml:space="preserve"> degree of uncertainty in this exercise. At the same time, it is critical that TOB investments reduce</w:t>
      </w:r>
      <w:r w:rsidR="0517C347" w:rsidRPr="727BFE15">
        <w:rPr>
          <w:rFonts w:eastAsia="Times New Roman"/>
          <w:color w:val="000000"/>
        </w:rPr>
        <w:t>,</w:t>
      </w:r>
      <w:r w:rsidRPr="727BFE15">
        <w:rPr>
          <w:rFonts w:eastAsia="Times New Roman"/>
          <w:color w:val="000000"/>
        </w:rPr>
        <w:t xml:space="preserve"> rather than increase</w:t>
      </w:r>
      <w:r w:rsidR="0517C347" w:rsidRPr="727BFE15">
        <w:rPr>
          <w:rFonts w:eastAsia="Times New Roman"/>
          <w:color w:val="000000"/>
        </w:rPr>
        <w:t>,</w:t>
      </w:r>
      <w:r w:rsidRPr="727BFE15">
        <w:rPr>
          <w:rFonts w:eastAsia="Times New Roman"/>
          <w:color w:val="000000"/>
        </w:rPr>
        <w:t xml:space="preserve"> customer energy burdens</w:t>
      </w:r>
      <w:r w:rsidR="0517C347" w:rsidRPr="727BFE15">
        <w:rPr>
          <w:rFonts w:eastAsia="Times New Roman"/>
          <w:color w:val="000000"/>
        </w:rPr>
        <w:t>;</w:t>
      </w:r>
      <w:r w:rsidRPr="727BFE15">
        <w:rPr>
          <w:rFonts w:eastAsia="Times New Roman"/>
          <w:color w:val="000000"/>
        </w:rPr>
        <w:t xml:space="preserve"> so these risks must be borne by the </w:t>
      </w:r>
      <w:r w:rsidR="175CB476" w:rsidRPr="727BFE15">
        <w:rPr>
          <w:rFonts w:eastAsia="Times New Roman"/>
          <w:color w:val="000000"/>
        </w:rPr>
        <w:t>P</w:t>
      </w:r>
      <w:r w:rsidRPr="727BFE15">
        <w:rPr>
          <w:rFonts w:eastAsia="Times New Roman"/>
          <w:color w:val="000000"/>
        </w:rPr>
        <w:t xml:space="preserve">rogram </w:t>
      </w:r>
      <w:r w:rsidR="175CB476" w:rsidRPr="727BFE15">
        <w:rPr>
          <w:rFonts w:eastAsia="Times New Roman"/>
          <w:color w:val="000000"/>
        </w:rPr>
        <w:t>S</w:t>
      </w:r>
      <w:r w:rsidRPr="727BFE15">
        <w:rPr>
          <w:rFonts w:eastAsia="Times New Roman"/>
          <w:color w:val="000000"/>
        </w:rPr>
        <w:t>ponsor</w:t>
      </w:r>
      <w:r w:rsidR="0517C347" w:rsidRPr="727BFE15">
        <w:rPr>
          <w:rFonts w:eastAsia="Times New Roman"/>
          <w:color w:val="000000"/>
        </w:rPr>
        <w:t>,</w:t>
      </w:r>
      <w:r w:rsidRPr="727BFE15">
        <w:rPr>
          <w:rFonts w:eastAsia="Times New Roman"/>
          <w:color w:val="000000"/>
        </w:rPr>
        <w:t xml:space="preserve"> rather than the </w:t>
      </w:r>
      <w:r w:rsidR="0517C347" w:rsidRPr="727BFE15">
        <w:rPr>
          <w:rFonts w:eastAsia="Times New Roman"/>
          <w:color w:val="000000"/>
        </w:rPr>
        <w:t>C</w:t>
      </w:r>
      <w:r w:rsidRPr="727BFE15">
        <w:rPr>
          <w:rFonts w:eastAsia="Times New Roman"/>
          <w:color w:val="000000"/>
        </w:rPr>
        <w:t xml:space="preserve">ustomer. </w:t>
      </w:r>
    </w:p>
    <w:p w14:paraId="04F367FB" w14:textId="4AEBBF61" w:rsidR="00126CED" w:rsidRDefault="0517C347" w:rsidP="00126CED">
      <w:pPr>
        <w:rPr>
          <w:rFonts w:eastAsia="Times New Roman"/>
          <w:color w:val="000000"/>
        </w:rPr>
      </w:pPr>
      <w:r w:rsidRPr="727BFE15">
        <w:rPr>
          <w:rFonts w:eastAsia="Times New Roman"/>
          <w:color w:val="000000"/>
        </w:rPr>
        <w:t xml:space="preserve">Published </w:t>
      </w:r>
      <w:r w:rsidR="568AC1F2" w:rsidRPr="727BFE15">
        <w:rPr>
          <w:rFonts w:eastAsia="Times New Roman"/>
          <w:color w:val="000000"/>
        </w:rPr>
        <w:t xml:space="preserve">evaluation reports indicate that project and </w:t>
      </w:r>
      <w:r w:rsidRPr="727BFE15">
        <w:rPr>
          <w:rFonts w:eastAsia="Times New Roman"/>
          <w:color w:val="000000"/>
        </w:rPr>
        <w:t>P</w:t>
      </w:r>
      <w:r w:rsidR="568AC1F2" w:rsidRPr="727BFE15">
        <w:rPr>
          <w:rFonts w:eastAsia="Times New Roman"/>
          <w:color w:val="000000"/>
        </w:rPr>
        <w:t>rogram realization rates (</w:t>
      </w:r>
      <w:r w:rsidRPr="727BFE15">
        <w:rPr>
          <w:rFonts w:eastAsia="Times New Roman"/>
          <w:color w:val="000000"/>
        </w:rPr>
        <w:t xml:space="preserve">that is, </w:t>
      </w:r>
      <w:r w:rsidR="568AC1F2" w:rsidRPr="727BFE15">
        <w:rPr>
          <w:rFonts w:eastAsia="Times New Roman"/>
          <w:color w:val="000000"/>
        </w:rPr>
        <w:t>metered energy savings</w:t>
      </w:r>
      <w:r w:rsidRPr="727BFE15">
        <w:rPr>
          <w:rFonts w:eastAsia="Times New Roman"/>
          <w:color w:val="000000"/>
        </w:rPr>
        <w:t>,</w:t>
      </w:r>
      <w:r w:rsidR="568AC1F2" w:rsidRPr="727BFE15">
        <w:rPr>
          <w:rFonts w:eastAsia="Times New Roman"/>
          <w:color w:val="000000"/>
        </w:rPr>
        <w:t xml:space="preserve"> divided by ex-ante predictions) can be highly variable</w:t>
      </w:r>
      <w:r w:rsidRPr="727BFE15">
        <w:rPr>
          <w:rFonts w:eastAsia="Times New Roman"/>
          <w:color w:val="000000"/>
        </w:rPr>
        <w:t>. S</w:t>
      </w:r>
      <w:r w:rsidR="671E06FE" w:rsidRPr="727BFE15">
        <w:rPr>
          <w:rFonts w:eastAsia="Times New Roman"/>
          <w:color w:val="000000"/>
        </w:rPr>
        <w:t>ome published studies report realization rates below 50 percent</w:t>
      </w:r>
      <w:r w:rsidR="568AC1F2" w:rsidRPr="727BFE15">
        <w:rPr>
          <w:rFonts w:eastAsia="Times New Roman"/>
          <w:color w:val="000000"/>
        </w:rPr>
        <w:t>.</w:t>
      </w:r>
      <w:r w:rsidR="6B4C5CAD" w:rsidRPr="727BFE15">
        <w:rPr>
          <w:rFonts w:eastAsia="Times New Roman"/>
          <w:color w:val="000000"/>
        </w:rPr>
        <w:t xml:space="preserve"> Thus, the 20 percent buffer described above</w:t>
      </w:r>
      <w:r w:rsidR="61DBC6F3" w:rsidRPr="727BFE15">
        <w:rPr>
          <w:rFonts w:eastAsia="Times New Roman"/>
          <w:color w:val="000000"/>
        </w:rPr>
        <w:t xml:space="preserve">, </w:t>
      </w:r>
      <w:r w:rsidRPr="727BFE15">
        <w:rPr>
          <w:rFonts w:eastAsia="Times New Roman"/>
          <w:color w:val="000000"/>
        </w:rPr>
        <w:t xml:space="preserve">although </w:t>
      </w:r>
      <w:r w:rsidR="61DBC6F3" w:rsidRPr="727BFE15">
        <w:rPr>
          <w:rFonts w:eastAsia="Times New Roman"/>
          <w:color w:val="000000"/>
        </w:rPr>
        <w:t xml:space="preserve">necessary, </w:t>
      </w:r>
      <w:r w:rsidRPr="727BFE15">
        <w:rPr>
          <w:rFonts w:eastAsia="Times New Roman"/>
          <w:color w:val="000000"/>
        </w:rPr>
        <w:t xml:space="preserve">might </w:t>
      </w:r>
      <w:r w:rsidR="61DBC6F3" w:rsidRPr="727BFE15">
        <w:rPr>
          <w:rFonts w:eastAsia="Times New Roman"/>
          <w:color w:val="000000"/>
        </w:rPr>
        <w:t>not be sufficient to provide the</w:t>
      </w:r>
      <w:r w:rsidRPr="727BFE15">
        <w:rPr>
          <w:rFonts w:eastAsia="Times New Roman"/>
          <w:color w:val="000000"/>
        </w:rPr>
        <w:t xml:space="preserve"> necessary </w:t>
      </w:r>
      <w:r w:rsidR="61DBC6F3" w:rsidRPr="727BFE15">
        <w:rPr>
          <w:rFonts w:eastAsia="Times New Roman"/>
          <w:color w:val="000000"/>
        </w:rPr>
        <w:t>degree of assurance.</w:t>
      </w:r>
      <w:r w:rsidR="4DA44414" w:rsidRPr="727BFE15">
        <w:rPr>
          <w:rFonts w:eastAsia="Times New Roman"/>
          <w:color w:val="000000"/>
        </w:rPr>
        <w:t xml:space="preserve"> </w:t>
      </w:r>
      <w:r w:rsidR="6376ACAE" w:rsidRPr="727BFE15">
        <w:rPr>
          <w:rFonts w:eastAsia="Times New Roman"/>
          <w:color w:val="000000"/>
        </w:rPr>
        <w:t>T</w:t>
      </w:r>
      <w:r w:rsidR="53E42583" w:rsidRPr="727BFE15">
        <w:rPr>
          <w:rFonts w:eastAsia="Times New Roman"/>
          <w:color w:val="000000"/>
        </w:rPr>
        <w:t xml:space="preserve">he </w:t>
      </w:r>
      <w:r w:rsidRPr="727BFE15">
        <w:rPr>
          <w:rFonts w:eastAsia="Times New Roman"/>
          <w:color w:val="000000"/>
        </w:rPr>
        <w:t>P</w:t>
      </w:r>
      <w:r w:rsidR="53E42583" w:rsidRPr="727BFE15">
        <w:rPr>
          <w:rFonts w:eastAsia="Times New Roman"/>
          <w:color w:val="000000"/>
        </w:rPr>
        <w:t xml:space="preserve">rogram </w:t>
      </w:r>
      <w:r w:rsidR="6376ACAE" w:rsidRPr="727BFE15">
        <w:rPr>
          <w:rFonts w:eastAsia="Times New Roman"/>
          <w:color w:val="000000"/>
        </w:rPr>
        <w:t>will field</w:t>
      </w:r>
      <w:r w:rsidRPr="727BFE15">
        <w:rPr>
          <w:rFonts w:eastAsia="Times New Roman"/>
          <w:color w:val="000000"/>
        </w:rPr>
        <w:t>-</w:t>
      </w:r>
      <w:r w:rsidR="6376ACAE" w:rsidRPr="727BFE15">
        <w:rPr>
          <w:rFonts w:eastAsia="Times New Roman"/>
          <w:color w:val="000000"/>
        </w:rPr>
        <w:t xml:space="preserve">test the </w:t>
      </w:r>
      <w:r w:rsidR="53E42583" w:rsidRPr="727BFE15">
        <w:rPr>
          <w:rFonts w:eastAsia="Times New Roman"/>
          <w:color w:val="000000"/>
        </w:rPr>
        <w:t>risk mitigation strategies</w:t>
      </w:r>
      <w:r w:rsidR="01251E6B" w:rsidRPr="727BFE15">
        <w:rPr>
          <w:rFonts w:eastAsia="Times New Roman"/>
          <w:color w:val="000000"/>
        </w:rPr>
        <w:t xml:space="preserve"> </w:t>
      </w:r>
      <w:r w:rsidRPr="727BFE15">
        <w:rPr>
          <w:rFonts w:eastAsia="Times New Roman"/>
          <w:color w:val="000000"/>
        </w:rPr>
        <w:t xml:space="preserve">shown in </w:t>
      </w:r>
      <w:r w:rsidRPr="727BFE15">
        <w:rPr>
          <w:rFonts w:eastAsia="Times New Roman"/>
          <w:b/>
          <w:bCs/>
          <w:color w:val="000000"/>
        </w:rPr>
        <w:t>Table</w:t>
      </w:r>
      <w:r w:rsidRPr="727BFE15">
        <w:rPr>
          <w:rFonts w:eastAsia="Times New Roman"/>
          <w:color w:val="000000"/>
        </w:rPr>
        <w:t xml:space="preserve"> </w:t>
      </w:r>
      <w:r w:rsidRPr="727BFE15">
        <w:rPr>
          <w:rFonts w:eastAsia="Times New Roman"/>
          <w:b/>
          <w:bCs/>
          <w:color w:val="000000"/>
        </w:rPr>
        <w:t>11,</w:t>
      </w:r>
      <w:r w:rsidRPr="727BFE15">
        <w:rPr>
          <w:rFonts w:eastAsia="Times New Roman"/>
          <w:color w:val="000000"/>
        </w:rPr>
        <w:t xml:space="preserve"> </w:t>
      </w:r>
      <w:r w:rsidR="01251E6B" w:rsidRPr="727BFE15">
        <w:rPr>
          <w:rFonts w:eastAsia="Times New Roman"/>
          <w:color w:val="000000"/>
        </w:rPr>
        <w:t xml:space="preserve">to determine </w:t>
      </w:r>
      <w:r w:rsidR="2DA2CE56" w:rsidRPr="727BFE15">
        <w:rPr>
          <w:rFonts w:eastAsia="Times New Roman"/>
          <w:color w:val="000000"/>
        </w:rPr>
        <w:t>the optimum mix of protection measures that balances</w:t>
      </w:r>
      <w:r w:rsidR="5B33EE01" w:rsidRPr="727BFE15">
        <w:rPr>
          <w:rFonts w:eastAsia="Times New Roman"/>
          <w:color w:val="000000"/>
        </w:rPr>
        <w:t xml:space="preserve"> </w:t>
      </w:r>
      <w:r w:rsidRPr="727BFE15">
        <w:rPr>
          <w:rFonts w:eastAsia="Times New Roman"/>
          <w:color w:val="000000"/>
        </w:rPr>
        <w:t>C</w:t>
      </w:r>
      <w:r w:rsidR="5B33EE01" w:rsidRPr="727BFE15">
        <w:rPr>
          <w:rFonts w:eastAsia="Times New Roman"/>
          <w:color w:val="000000"/>
        </w:rPr>
        <w:t>ustomer protections</w:t>
      </w:r>
      <w:r w:rsidR="2DA2CE56" w:rsidRPr="727BFE15">
        <w:rPr>
          <w:rFonts w:eastAsia="Times New Roman"/>
          <w:color w:val="000000"/>
        </w:rPr>
        <w:t xml:space="preserve"> and ratepayer financial burdens</w:t>
      </w:r>
      <w:r w:rsidR="5B33EE01" w:rsidRPr="727BFE15">
        <w:rPr>
          <w:rFonts w:eastAsia="Times New Roman"/>
          <w:color w:val="000000"/>
        </w:rPr>
        <w:t>.</w:t>
      </w:r>
    </w:p>
    <w:p w14:paraId="175DD65C" w14:textId="02FED252" w:rsidR="00021EB9" w:rsidRPr="006801D0" w:rsidRDefault="61DBC6F3" w:rsidP="00126CED">
      <w:pPr>
        <w:rPr>
          <w:b/>
          <w:bCs/>
        </w:rPr>
      </w:pPr>
      <w:r w:rsidRPr="727BFE15">
        <w:rPr>
          <w:rFonts w:eastAsia="Times New Roman"/>
          <w:b/>
          <w:bCs/>
          <w:color w:val="000000"/>
        </w:rPr>
        <w:t xml:space="preserve">Table </w:t>
      </w:r>
      <w:r w:rsidR="0517C347" w:rsidRPr="727BFE15">
        <w:rPr>
          <w:rFonts w:eastAsia="Times New Roman"/>
          <w:b/>
          <w:bCs/>
          <w:color w:val="000000"/>
        </w:rPr>
        <w:t>11</w:t>
      </w:r>
      <w:r w:rsidRPr="727BFE15">
        <w:rPr>
          <w:rFonts w:eastAsia="Times New Roman"/>
          <w:b/>
          <w:bCs/>
          <w:color w:val="000000"/>
        </w:rPr>
        <w:t>.</w:t>
      </w:r>
      <w:r w:rsidR="2144AFE2" w:rsidRPr="727BFE15">
        <w:rPr>
          <w:rFonts w:eastAsia="Times New Roman"/>
          <w:b/>
          <w:bCs/>
          <w:color w:val="000000"/>
        </w:rPr>
        <w:t xml:space="preserve"> </w:t>
      </w:r>
      <w:r w:rsidR="1A6BED24" w:rsidRPr="727BFE15">
        <w:rPr>
          <w:rFonts w:eastAsia="Times New Roman"/>
          <w:b/>
          <w:bCs/>
          <w:color w:val="000000"/>
        </w:rPr>
        <w:t xml:space="preserve">Savings </w:t>
      </w:r>
      <w:r w:rsidR="0517C347" w:rsidRPr="727BFE15">
        <w:rPr>
          <w:rFonts w:eastAsia="Times New Roman"/>
          <w:b/>
          <w:bCs/>
          <w:color w:val="000000"/>
        </w:rPr>
        <w:t>p</w:t>
      </w:r>
      <w:r w:rsidR="1A6BED24" w:rsidRPr="727BFE15">
        <w:rPr>
          <w:rFonts w:eastAsia="Times New Roman"/>
          <w:b/>
          <w:bCs/>
          <w:color w:val="000000"/>
        </w:rPr>
        <w:t>rediction</w:t>
      </w:r>
      <w:r w:rsidR="2144AFE2" w:rsidRPr="727BFE15">
        <w:rPr>
          <w:rFonts w:eastAsia="Times New Roman"/>
          <w:b/>
          <w:bCs/>
          <w:color w:val="000000"/>
        </w:rPr>
        <w:t xml:space="preserve"> </w:t>
      </w:r>
      <w:r w:rsidR="0517C347" w:rsidRPr="727BFE15">
        <w:rPr>
          <w:rFonts w:eastAsia="Times New Roman"/>
          <w:b/>
          <w:bCs/>
          <w:color w:val="000000"/>
        </w:rPr>
        <w:t>r</w:t>
      </w:r>
      <w:r w:rsidR="2144AFE2" w:rsidRPr="727BFE15">
        <w:rPr>
          <w:rFonts w:eastAsia="Times New Roman"/>
          <w:b/>
          <w:bCs/>
          <w:color w:val="000000"/>
        </w:rPr>
        <w:t xml:space="preserve">isk </w:t>
      </w:r>
      <w:r w:rsidR="0517C347" w:rsidRPr="727BFE15">
        <w:rPr>
          <w:rFonts w:eastAsia="Times New Roman"/>
          <w:b/>
          <w:bCs/>
          <w:color w:val="000000"/>
        </w:rPr>
        <w:t>f</w:t>
      </w:r>
      <w:r w:rsidR="2144AFE2" w:rsidRPr="727BFE15">
        <w:rPr>
          <w:rFonts w:eastAsia="Times New Roman"/>
          <w:b/>
          <w:bCs/>
          <w:color w:val="000000"/>
        </w:rPr>
        <w:t xml:space="preserve">actors and </w:t>
      </w:r>
      <w:r w:rsidR="0517C347" w:rsidRPr="727BFE15">
        <w:rPr>
          <w:rFonts w:eastAsia="Times New Roman"/>
          <w:b/>
          <w:bCs/>
          <w:color w:val="000000"/>
        </w:rPr>
        <w:t>p</w:t>
      </w:r>
      <w:r w:rsidR="2144AFE2" w:rsidRPr="727BFE15">
        <w:rPr>
          <w:rFonts w:eastAsia="Times New Roman"/>
          <w:b/>
          <w:bCs/>
          <w:color w:val="000000"/>
        </w:rPr>
        <w:t xml:space="preserve">ossible </w:t>
      </w:r>
      <w:r w:rsidR="0517C347" w:rsidRPr="727BFE15">
        <w:rPr>
          <w:rFonts w:eastAsia="Times New Roman"/>
          <w:b/>
          <w:bCs/>
          <w:color w:val="000000"/>
        </w:rPr>
        <w:t>m</w:t>
      </w:r>
      <w:r w:rsidR="2144AFE2" w:rsidRPr="727BFE15">
        <w:rPr>
          <w:rFonts w:eastAsia="Times New Roman"/>
          <w:b/>
          <w:bCs/>
          <w:color w:val="000000"/>
        </w:rPr>
        <w:t xml:space="preserve">itigation </w:t>
      </w:r>
      <w:r w:rsidR="0517C347" w:rsidRPr="727BFE15">
        <w:rPr>
          <w:rFonts w:eastAsia="Times New Roman"/>
          <w:b/>
          <w:bCs/>
          <w:color w:val="000000"/>
        </w:rPr>
        <w:t>s</w:t>
      </w:r>
      <w:r w:rsidR="2144AFE2" w:rsidRPr="727BFE15">
        <w:rPr>
          <w:rFonts w:eastAsia="Times New Roman"/>
          <w:b/>
          <w:bCs/>
          <w:color w:val="000000"/>
        </w:rPr>
        <w:t>trategies</w:t>
      </w:r>
    </w:p>
    <w:tbl>
      <w:tblPr>
        <w:tblStyle w:val="GridTable4-Accent1"/>
        <w:tblW w:w="9170" w:type="dxa"/>
        <w:tblLayout w:type="fixed"/>
        <w:tblLook w:val="0420" w:firstRow="1" w:lastRow="0" w:firstColumn="0" w:lastColumn="0" w:noHBand="0" w:noVBand="1"/>
      </w:tblPr>
      <w:tblGrid>
        <w:gridCol w:w="4220"/>
        <w:gridCol w:w="4950"/>
      </w:tblGrid>
      <w:tr w:rsidR="0085467E" w14:paraId="590A9C1D" w14:textId="77777777" w:rsidTr="727BFE15">
        <w:trPr>
          <w:cnfStyle w:val="100000000000" w:firstRow="1" w:lastRow="0" w:firstColumn="0" w:lastColumn="0" w:oddVBand="0" w:evenVBand="0" w:oddHBand="0" w:evenHBand="0" w:firstRowFirstColumn="0" w:firstRowLastColumn="0" w:lastRowFirstColumn="0" w:lastRowLastColumn="0"/>
          <w:cantSplit/>
          <w:tblHeader/>
        </w:trPr>
        <w:tc>
          <w:tcPr>
            <w:tcW w:w="4220" w:type="dxa"/>
          </w:tcPr>
          <w:p w14:paraId="08E8C6D4" w14:textId="3DDE3BDF" w:rsidR="0085467E" w:rsidRDefault="07C4BD7B" w:rsidP="00B34E09">
            <w:r w:rsidRPr="727BFE15">
              <w:rPr>
                <w:rFonts w:eastAsia="Times New Roman"/>
                <w:color w:val="000000"/>
              </w:rPr>
              <w:t xml:space="preserve">Risk </w:t>
            </w:r>
            <w:r w:rsidR="0517C347" w:rsidRPr="727BFE15">
              <w:rPr>
                <w:rFonts w:eastAsia="Times New Roman"/>
                <w:color w:val="000000"/>
              </w:rPr>
              <w:t>f</w:t>
            </w:r>
            <w:r w:rsidRPr="727BFE15">
              <w:rPr>
                <w:rFonts w:eastAsia="Times New Roman"/>
                <w:color w:val="000000"/>
              </w:rPr>
              <w:t>actor</w:t>
            </w:r>
          </w:p>
        </w:tc>
        <w:tc>
          <w:tcPr>
            <w:tcW w:w="4950" w:type="dxa"/>
          </w:tcPr>
          <w:p w14:paraId="262E4B47" w14:textId="77777777" w:rsidR="0085467E" w:rsidRDefault="0085467E" w:rsidP="00B34E09">
            <w:r w:rsidRPr="3F0F75C9">
              <w:rPr>
                <w:rFonts w:eastAsia="Times New Roman"/>
                <w:color w:val="000000"/>
                <w:szCs w:val="22"/>
              </w:rPr>
              <w:t>Mitigation</w:t>
            </w:r>
          </w:p>
        </w:tc>
      </w:tr>
      <w:tr w:rsidR="007F3C66" w14:paraId="032CFBFC" w14:textId="77777777" w:rsidTr="727BFE15">
        <w:trPr>
          <w:cnfStyle w:val="000000100000" w:firstRow="0" w:lastRow="0" w:firstColumn="0" w:lastColumn="0" w:oddVBand="0" w:evenVBand="0" w:oddHBand="1" w:evenHBand="0" w:firstRowFirstColumn="0" w:firstRowLastColumn="0" w:lastRowFirstColumn="0" w:lastRowLastColumn="0"/>
          <w:cantSplit/>
        </w:trPr>
        <w:tc>
          <w:tcPr>
            <w:tcW w:w="4220" w:type="dxa"/>
          </w:tcPr>
          <w:p w14:paraId="4769168A" w14:textId="16DE741A" w:rsidR="007F3C66" w:rsidRDefault="3DAB728C" w:rsidP="0085467E">
            <w:r>
              <w:t>Erratic baseline consumption m</w:t>
            </w:r>
            <w:r w:rsidR="0517C347">
              <w:t>ight</w:t>
            </w:r>
            <w:r>
              <w:t xml:space="preserve"> </w:t>
            </w:r>
            <w:r w:rsidR="0BEC7595">
              <w:t xml:space="preserve">complicate efforts to calibrate engineering models and </w:t>
            </w:r>
            <w:r w:rsidR="6FAD6301">
              <w:t xml:space="preserve">thus </w:t>
            </w:r>
            <w:r>
              <w:t>introduce</w:t>
            </w:r>
            <w:r w:rsidR="0BEC7595">
              <w:t xml:space="preserve"> unacceptable levels of uncertainty into</w:t>
            </w:r>
            <w:r w:rsidR="6925683D">
              <w:t xml:space="preserve"> savings predictions.</w:t>
            </w:r>
          </w:p>
        </w:tc>
        <w:tc>
          <w:tcPr>
            <w:tcW w:w="4950" w:type="dxa"/>
          </w:tcPr>
          <w:p w14:paraId="25929363" w14:textId="6B018DF9" w:rsidR="007F3C66" w:rsidRPr="06D361F5" w:rsidRDefault="00782957" w:rsidP="00B34E09">
            <w:pPr>
              <w:rPr>
                <w:rFonts w:eastAsia="Times New Roman"/>
                <w:color w:val="000000"/>
              </w:rPr>
            </w:pPr>
            <w:r>
              <w:rPr>
                <w:rFonts w:eastAsia="Times New Roman"/>
                <w:color w:val="000000"/>
              </w:rPr>
              <w:t>Apply standard CalTRACK protocols to s</w:t>
            </w:r>
            <w:r w:rsidRPr="06D361F5">
              <w:rPr>
                <w:rFonts w:eastAsia="Times New Roman"/>
                <w:color w:val="000000"/>
              </w:rPr>
              <w:t>creen candidates for baseline model stability (CVRMSE &lt; 1.0)</w:t>
            </w:r>
            <w:r>
              <w:rPr>
                <w:rFonts w:eastAsia="Times New Roman"/>
                <w:color w:val="000000"/>
              </w:rPr>
              <w:t>.</w:t>
            </w:r>
          </w:p>
        </w:tc>
      </w:tr>
      <w:tr w:rsidR="007F3C66" w14:paraId="5FDF36C0" w14:textId="77777777" w:rsidTr="727BFE15">
        <w:trPr>
          <w:cantSplit/>
        </w:trPr>
        <w:tc>
          <w:tcPr>
            <w:tcW w:w="4220" w:type="dxa"/>
          </w:tcPr>
          <w:p w14:paraId="5A1C1C32" w14:textId="59AADB22" w:rsidR="007F3C66" w:rsidRDefault="00782957" w:rsidP="0085467E">
            <w:r>
              <w:t>Site data collection errors could lead to engineering model mis-specification.</w:t>
            </w:r>
          </w:p>
        </w:tc>
        <w:tc>
          <w:tcPr>
            <w:tcW w:w="4950" w:type="dxa"/>
          </w:tcPr>
          <w:p w14:paraId="4AC79E3A" w14:textId="709286ED" w:rsidR="007F3C66" w:rsidRDefault="008B1C53" w:rsidP="00B34E09">
            <w:pPr>
              <w:rPr>
                <w:rFonts w:eastAsia="Times New Roman"/>
                <w:color w:val="000000"/>
              </w:rPr>
            </w:pPr>
            <w:r>
              <w:rPr>
                <w:rFonts w:eastAsia="Times New Roman"/>
                <w:color w:val="000000"/>
              </w:rPr>
              <w:t>A</w:t>
            </w:r>
            <w:r w:rsidR="00424EBF">
              <w:rPr>
                <w:rFonts w:eastAsia="Times New Roman"/>
                <w:color w:val="000000"/>
              </w:rPr>
              <w:t>ssign data collection responsibility to the Program Operator and a</w:t>
            </w:r>
            <w:r>
              <w:rPr>
                <w:rFonts w:eastAsia="Times New Roman"/>
                <w:color w:val="000000"/>
              </w:rPr>
              <w:t>dopt site data collection protocols that incorporate industry best practices</w:t>
            </w:r>
          </w:p>
          <w:p w14:paraId="0372A2E1" w14:textId="34297E9E" w:rsidR="008B1C53" w:rsidRPr="06D361F5" w:rsidRDefault="008B1C53" w:rsidP="00B34E09">
            <w:pPr>
              <w:rPr>
                <w:rFonts w:eastAsia="Times New Roman"/>
                <w:color w:val="000000"/>
              </w:rPr>
            </w:pPr>
            <w:r>
              <w:rPr>
                <w:rFonts w:eastAsia="Times New Roman"/>
                <w:color w:val="000000"/>
              </w:rPr>
              <w:t>Establish minimum training and experience requirements for</w:t>
            </w:r>
            <w:r w:rsidR="00BE5838">
              <w:rPr>
                <w:rFonts w:eastAsia="Times New Roman"/>
                <w:color w:val="000000"/>
              </w:rPr>
              <w:t xml:space="preserve"> field technicians responsible for data collection</w:t>
            </w:r>
          </w:p>
        </w:tc>
      </w:tr>
      <w:tr w:rsidR="007F3C66" w14:paraId="23251314" w14:textId="77777777" w:rsidTr="727BFE15">
        <w:trPr>
          <w:cnfStyle w:val="000000100000" w:firstRow="0" w:lastRow="0" w:firstColumn="0" w:lastColumn="0" w:oddVBand="0" w:evenVBand="0" w:oddHBand="1" w:evenHBand="0" w:firstRowFirstColumn="0" w:firstRowLastColumn="0" w:lastRowFirstColumn="0" w:lastRowLastColumn="0"/>
          <w:cantSplit/>
        </w:trPr>
        <w:tc>
          <w:tcPr>
            <w:tcW w:w="4220" w:type="dxa"/>
          </w:tcPr>
          <w:p w14:paraId="0157C8D3" w14:textId="36FBB969" w:rsidR="007F3C66" w:rsidRDefault="00BE5838" w:rsidP="0085467E">
            <w:r>
              <w:t>Model mis-specification, including over-reliance on model default values</w:t>
            </w:r>
            <w:r w:rsidR="008F4D39">
              <w:t>, could lead to biased savings estimates.</w:t>
            </w:r>
          </w:p>
        </w:tc>
        <w:tc>
          <w:tcPr>
            <w:tcW w:w="4950" w:type="dxa"/>
          </w:tcPr>
          <w:p w14:paraId="2DF728EE" w14:textId="639A0813" w:rsidR="007F3C66" w:rsidRDefault="6DC9C087" w:rsidP="00B34E09">
            <w:pPr>
              <w:rPr>
                <w:rFonts w:eastAsia="Times New Roman"/>
                <w:color w:val="000000"/>
              </w:rPr>
            </w:pPr>
            <w:r w:rsidRPr="727BFE15">
              <w:rPr>
                <w:rFonts w:eastAsia="Times New Roman"/>
                <w:color w:val="000000"/>
              </w:rPr>
              <w:t>Assign data collection responsibility to the Program Operator and a</w:t>
            </w:r>
            <w:r w:rsidR="7396E0DF" w:rsidRPr="727BFE15">
              <w:rPr>
                <w:rFonts w:eastAsia="Times New Roman"/>
                <w:color w:val="000000"/>
              </w:rPr>
              <w:t>dopt physics-based modeling and simulation software tools that incorporate NREL’s EnergyPlus</w:t>
            </w:r>
            <w:r w:rsidR="454070D9" w:rsidRPr="727BFE15">
              <w:rPr>
                <w:rFonts w:eastAsia="Times New Roman"/>
                <w:color w:val="000000"/>
              </w:rPr>
              <w:t>™</w:t>
            </w:r>
            <w:r w:rsidR="5EFD0EC8" w:rsidRPr="727BFE15">
              <w:rPr>
                <w:rFonts w:eastAsia="Times New Roman"/>
                <w:color w:val="000000"/>
              </w:rPr>
              <w:t xml:space="preserve"> whole</w:t>
            </w:r>
            <w:r w:rsidR="6FAD6301" w:rsidRPr="727BFE15">
              <w:rPr>
                <w:rFonts w:eastAsia="Times New Roman"/>
                <w:color w:val="000000"/>
              </w:rPr>
              <w:t>-</w:t>
            </w:r>
            <w:r w:rsidR="5EFD0EC8" w:rsidRPr="727BFE15">
              <w:rPr>
                <w:rFonts w:eastAsia="Times New Roman"/>
                <w:color w:val="000000"/>
              </w:rPr>
              <w:t>building energy simulation engine</w:t>
            </w:r>
          </w:p>
          <w:p w14:paraId="5730604B" w14:textId="02B5FA90" w:rsidR="005E0D29" w:rsidRDefault="005E0D29" w:rsidP="00B34E09">
            <w:pPr>
              <w:rPr>
                <w:rFonts w:eastAsia="Times New Roman"/>
                <w:color w:val="000000"/>
              </w:rPr>
            </w:pPr>
            <w:r>
              <w:rPr>
                <w:rFonts w:eastAsia="Times New Roman"/>
                <w:color w:val="000000"/>
              </w:rPr>
              <w:t>Require models to be calibrated to baseline metered gas and electricity consumption</w:t>
            </w:r>
            <w:r w:rsidR="00AA4122">
              <w:rPr>
                <w:rFonts w:eastAsia="Times New Roman"/>
                <w:color w:val="000000"/>
              </w:rPr>
              <w:t xml:space="preserve">, </w:t>
            </w:r>
            <w:r w:rsidR="00AA4122">
              <w:t>including calibration to disaggregated weather-sensitive loads</w:t>
            </w:r>
          </w:p>
          <w:p w14:paraId="1FBFFBA1" w14:textId="6758DD58" w:rsidR="00FD40DC" w:rsidRPr="06D361F5" w:rsidRDefault="00FD40DC" w:rsidP="00B34E09">
            <w:pPr>
              <w:rPr>
                <w:rFonts w:eastAsia="Times New Roman"/>
                <w:color w:val="000000"/>
              </w:rPr>
            </w:pPr>
            <w:r>
              <w:rPr>
                <w:rFonts w:eastAsia="Times New Roman"/>
                <w:color w:val="000000"/>
              </w:rPr>
              <w:t>Establish minimum training and experience requirements for personnel responsible for developing energy model</w:t>
            </w:r>
            <w:r w:rsidR="005E0D29">
              <w:rPr>
                <w:rFonts w:eastAsia="Times New Roman"/>
                <w:color w:val="000000"/>
              </w:rPr>
              <w:t>ing</w:t>
            </w:r>
          </w:p>
        </w:tc>
      </w:tr>
      <w:tr w:rsidR="0085467E" w14:paraId="374241DA" w14:textId="77777777" w:rsidTr="727BFE15">
        <w:trPr>
          <w:cantSplit/>
        </w:trPr>
        <w:tc>
          <w:tcPr>
            <w:tcW w:w="4220" w:type="dxa"/>
          </w:tcPr>
          <w:p w14:paraId="3070FFC1" w14:textId="627F72B7" w:rsidR="00D452BB" w:rsidRDefault="2ED55AE3" w:rsidP="00B34E09">
            <w:pPr>
              <w:rPr>
                <w:rFonts w:eastAsia="Times New Roman"/>
                <w:color w:val="000000"/>
              </w:rPr>
            </w:pPr>
            <w:r w:rsidRPr="727BFE15">
              <w:rPr>
                <w:rFonts w:eastAsia="Times New Roman"/>
                <w:color w:val="000000"/>
              </w:rPr>
              <w:t>Savings m</w:t>
            </w:r>
            <w:r w:rsidR="4791EC90" w:rsidRPr="727BFE15">
              <w:rPr>
                <w:rFonts w:eastAsia="Times New Roman"/>
                <w:color w:val="000000"/>
              </w:rPr>
              <w:t xml:space="preserve">ispredictions or </w:t>
            </w:r>
            <w:r w:rsidR="0813F7C5" w:rsidRPr="727BFE15">
              <w:rPr>
                <w:rFonts w:eastAsia="Times New Roman"/>
                <w:color w:val="000000"/>
              </w:rPr>
              <w:t xml:space="preserve">installation quality issues could </w:t>
            </w:r>
            <w:r w:rsidR="52ED5A5A" w:rsidRPr="727BFE15">
              <w:rPr>
                <w:rFonts w:eastAsia="Times New Roman"/>
                <w:color w:val="000000"/>
              </w:rPr>
              <w:t xml:space="preserve">result in a fraction of </w:t>
            </w:r>
            <w:r w:rsidR="6FAD6301" w:rsidRPr="727BFE15">
              <w:rPr>
                <w:rFonts w:eastAsia="Times New Roman"/>
                <w:color w:val="000000"/>
              </w:rPr>
              <w:t>C</w:t>
            </w:r>
            <w:r w:rsidR="52ED5A5A" w:rsidRPr="727BFE15">
              <w:rPr>
                <w:rFonts w:eastAsia="Times New Roman"/>
                <w:color w:val="000000"/>
              </w:rPr>
              <w:t>ustomers with realization rates below 0.8</w:t>
            </w:r>
            <w:r w:rsidR="349D45A3" w:rsidRPr="727BFE15">
              <w:rPr>
                <w:rFonts w:eastAsia="Times New Roman"/>
                <w:color w:val="000000"/>
              </w:rPr>
              <w:t>, which means their Program Service Charges would exceed their metered savings</w:t>
            </w:r>
            <w:r w:rsidR="52ED5A5A" w:rsidRPr="727BFE15">
              <w:rPr>
                <w:rFonts w:eastAsia="Times New Roman"/>
                <w:color w:val="000000"/>
              </w:rPr>
              <w:t>.</w:t>
            </w:r>
          </w:p>
          <w:p w14:paraId="0C284CAA" w14:textId="4C4F7F11" w:rsidR="0085467E" w:rsidRDefault="2EDF77FE" w:rsidP="007A45CB">
            <w:r w:rsidRPr="727BFE15">
              <w:rPr>
                <w:rFonts w:eastAsia="Times New Roman"/>
                <w:color w:val="000000"/>
              </w:rPr>
              <w:t>At the whole</w:t>
            </w:r>
            <w:r w:rsidR="6FAD6301" w:rsidRPr="727BFE15">
              <w:rPr>
                <w:rFonts w:eastAsia="Times New Roman"/>
                <w:color w:val="000000"/>
              </w:rPr>
              <w:t>-</w:t>
            </w:r>
            <w:r w:rsidRPr="727BFE15">
              <w:rPr>
                <w:rFonts w:eastAsia="Times New Roman"/>
                <w:color w:val="000000"/>
              </w:rPr>
              <w:t>building level, l</w:t>
            </w:r>
            <w:r w:rsidR="6C3139E3" w:rsidRPr="727BFE15">
              <w:rPr>
                <w:rFonts w:eastAsia="Times New Roman"/>
                <w:color w:val="000000"/>
              </w:rPr>
              <w:t xml:space="preserve">ow realization rates could </w:t>
            </w:r>
            <w:r w:rsidRPr="727BFE15">
              <w:rPr>
                <w:rFonts w:eastAsia="Times New Roman"/>
                <w:color w:val="000000"/>
              </w:rPr>
              <w:t xml:space="preserve">also </w:t>
            </w:r>
            <w:r w:rsidR="6C3139E3" w:rsidRPr="727BFE15">
              <w:rPr>
                <w:rFonts w:eastAsia="Times New Roman"/>
                <w:color w:val="000000"/>
              </w:rPr>
              <w:t xml:space="preserve">be attributable </w:t>
            </w:r>
            <w:r w:rsidR="1AC4C93A" w:rsidRPr="727BFE15">
              <w:rPr>
                <w:rFonts w:eastAsia="Times New Roman"/>
                <w:color w:val="000000"/>
              </w:rPr>
              <w:t xml:space="preserve">to exogenous changes in the customer’s energy usage patterns, </w:t>
            </w:r>
            <w:r w:rsidR="07C4BD7B" w:rsidRPr="727BFE15">
              <w:rPr>
                <w:rFonts w:eastAsia="Times New Roman"/>
                <w:color w:val="000000"/>
              </w:rPr>
              <w:t>which is outside of program control and responsibility.</w:t>
            </w:r>
          </w:p>
        </w:tc>
        <w:tc>
          <w:tcPr>
            <w:tcW w:w="4950" w:type="dxa"/>
          </w:tcPr>
          <w:p w14:paraId="2A8927E5" w14:textId="0EB0575F" w:rsidR="00EF07FF" w:rsidRDefault="00EF07FF" w:rsidP="00B34E09">
            <w:pPr>
              <w:rPr>
                <w:rFonts w:eastAsia="Times New Roman"/>
                <w:color w:val="000000"/>
              </w:rPr>
            </w:pPr>
            <w:r>
              <w:rPr>
                <w:rFonts w:eastAsia="Times New Roman"/>
                <w:color w:val="000000"/>
              </w:rPr>
              <w:t>Test methods for isolating end use consumption</w:t>
            </w:r>
            <w:r w:rsidR="00B8341D">
              <w:rPr>
                <w:rFonts w:eastAsia="Times New Roman"/>
                <w:color w:val="000000"/>
              </w:rPr>
              <w:t xml:space="preserve"> via disaggregation and weather normalization of whole </w:t>
            </w:r>
            <w:r w:rsidR="00B630BC">
              <w:rPr>
                <w:rFonts w:eastAsia="Times New Roman"/>
                <w:color w:val="000000"/>
              </w:rPr>
              <w:t>building</w:t>
            </w:r>
            <w:r w:rsidR="00B8341D">
              <w:rPr>
                <w:rFonts w:eastAsia="Times New Roman"/>
                <w:color w:val="000000"/>
              </w:rPr>
              <w:t xml:space="preserve"> energy consumption via CalTrack methods.</w:t>
            </w:r>
          </w:p>
          <w:p w14:paraId="3F118F9B" w14:textId="6A7CB976" w:rsidR="0085467E" w:rsidRDefault="00B630BC" w:rsidP="00B34E09">
            <w:pPr>
              <w:rPr>
                <w:rFonts w:eastAsia="Times New Roman"/>
                <w:color w:val="000000"/>
              </w:rPr>
            </w:pPr>
            <w:r>
              <w:rPr>
                <w:rFonts w:eastAsia="Times New Roman"/>
                <w:color w:val="000000"/>
              </w:rPr>
              <w:t xml:space="preserve">Supplement whole-building analysis with </w:t>
            </w:r>
            <w:r w:rsidR="0085467E" w:rsidRPr="4D1B32DD">
              <w:rPr>
                <w:rFonts w:eastAsia="Times New Roman"/>
                <w:color w:val="000000"/>
              </w:rPr>
              <w:t>end use submetering</w:t>
            </w:r>
            <w:r>
              <w:rPr>
                <w:rFonts w:eastAsia="Times New Roman"/>
                <w:color w:val="000000"/>
              </w:rPr>
              <w:t xml:space="preserve"> as needed</w:t>
            </w:r>
            <w:r w:rsidR="0085467E" w:rsidRPr="4D1B32DD">
              <w:rPr>
                <w:rFonts w:eastAsia="Times New Roman"/>
                <w:color w:val="000000"/>
              </w:rPr>
              <w:t xml:space="preserve"> to isolate program-impacted end uses from unaffected end uses. Combine submetering with Smart Thermostat data and HPWH controls data for remote monitoring of equipment performance.</w:t>
            </w:r>
          </w:p>
          <w:p w14:paraId="367A96D8" w14:textId="5F716AA6" w:rsidR="00CC147B" w:rsidRDefault="001216E8" w:rsidP="00246DC9">
            <w:pPr>
              <w:rPr>
                <w:rFonts w:eastAsia="Times New Roman"/>
                <w:color w:val="000000"/>
                <w:szCs w:val="22"/>
              </w:rPr>
            </w:pPr>
            <w:r>
              <w:rPr>
                <w:rFonts w:eastAsia="Times New Roman"/>
                <w:color w:val="000000"/>
                <w:szCs w:val="22"/>
              </w:rPr>
              <w:t>In cases where</w:t>
            </w:r>
            <w:r w:rsidR="00A73917">
              <w:rPr>
                <w:rFonts w:eastAsia="Times New Roman"/>
                <w:color w:val="000000"/>
                <w:szCs w:val="22"/>
              </w:rPr>
              <w:t xml:space="preserve"> the first year of post-installation</w:t>
            </w:r>
            <w:r>
              <w:rPr>
                <w:rFonts w:eastAsia="Times New Roman"/>
                <w:color w:val="000000"/>
                <w:szCs w:val="22"/>
              </w:rPr>
              <w:t xml:space="preserve"> monitoring shows probable cause to believe that</w:t>
            </w:r>
            <w:r w:rsidR="00246DC9">
              <w:rPr>
                <w:rFonts w:eastAsia="Times New Roman"/>
                <w:color w:val="000000"/>
                <w:szCs w:val="22"/>
              </w:rPr>
              <w:t xml:space="preserve"> energy savings from Program-installed improvements falls short of predictions, investigate root causes via </w:t>
            </w:r>
            <w:r w:rsidR="00AD5BBB">
              <w:rPr>
                <w:rFonts w:eastAsia="Times New Roman"/>
                <w:color w:val="000000"/>
                <w:szCs w:val="22"/>
              </w:rPr>
              <w:t>phone interviews and site visits as needed</w:t>
            </w:r>
            <w:r w:rsidR="00AD5BBB" w:rsidRPr="3F0F75C9">
              <w:rPr>
                <w:rFonts w:eastAsia="Times New Roman"/>
                <w:color w:val="000000"/>
                <w:szCs w:val="22"/>
              </w:rPr>
              <w:t>.</w:t>
            </w:r>
            <w:r w:rsidR="00CC147B">
              <w:rPr>
                <w:rFonts w:eastAsia="Times New Roman"/>
                <w:color w:val="000000"/>
                <w:szCs w:val="22"/>
              </w:rPr>
              <w:t xml:space="preserve"> </w:t>
            </w:r>
          </w:p>
          <w:p w14:paraId="7D5B6BC4" w14:textId="6FED55A4" w:rsidR="0085467E" w:rsidRDefault="00CC147B" w:rsidP="00B34E09">
            <w:r>
              <w:rPr>
                <w:rFonts w:eastAsia="Times New Roman"/>
                <w:color w:val="000000"/>
                <w:szCs w:val="22"/>
              </w:rPr>
              <w:t xml:space="preserve">If under-performance or over-prediction is verified, </w:t>
            </w:r>
            <w:r w:rsidR="00B3247E">
              <w:rPr>
                <w:rFonts w:eastAsia="Times New Roman"/>
                <w:color w:val="000000"/>
                <w:szCs w:val="22"/>
              </w:rPr>
              <w:t xml:space="preserve">the Program may </w:t>
            </w:r>
            <w:r w:rsidR="00B3247E">
              <w:rPr>
                <w:rFonts w:eastAsia="Times New Roman"/>
                <w:color w:val="000000"/>
              </w:rPr>
              <w:t>repair or replace equipment</w:t>
            </w:r>
            <w:r w:rsidR="00B3247E">
              <w:rPr>
                <w:rFonts w:eastAsia="Times New Roman"/>
                <w:color w:val="000000"/>
                <w:szCs w:val="22"/>
              </w:rPr>
              <w:t xml:space="preserve"> </w:t>
            </w:r>
            <w:r w:rsidR="00BE4FD0">
              <w:rPr>
                <w:rFonts w:eastAsia="Times New Roman"/>
                <w:color w:val="000000"/>
                <w:szCs w:val="22"/>
              </w:rPr>
              <w:t>and/</w:t>
            </w:r>
            <w:r w:rsidR="00B3247E">
              <w:rPr>
                <w:rFonts w:eastAsia="Times New Roman"/>
                <w:color w:val="000000"/>
                <w:szCs w:val="22"/>
              </w:rPr>
              <w:t xml:space="preserve">or </w:t>
            </w:r>
            <w:r>
              <w:rPr>
                <w:rFonts w:eastAsia="Times New Roman"/>
                <w:color w:val="000000"/>
                <w:szCs w:val="22"/>
              </w:rPr>
              <w:t>adjust customer’s</w:t>
            </w:r>
            <w:r w:rsidR="00A73917">
              <w:rPr>
                <w:rFonts w:eastAsia="Times New Roman"/>
                <w:color w:val="000000"/>
                <w:szCs w:val="22"/>
              </w:rPr>
              <w:t xml:space="preserve"> Program Service Charge for all future payments to reflect</w:t>
            </w:r>
            <w:r w:rsidR="0049713F">
              <w:rPr>
                <w:rFonts w:eastAsia="Times New Roman"/>
                <w:color w:val="000000"/>
                <w:szCs w:val="22"/>
              </w:rPr>
              <w:t xml:space="preserve"> the meter-based savings</w:t>
            </w:r>
            <w:r w:rsidR="00364F44">
              <w:rPr>
                <w:rFonts w:eastAsia="Times New Roman"/>
                <w:color w:val="000000"/>
                <w:szCs w:val="22"/>
              </w:rPr>
              <w:t xml:space="preserve"> result for the improvements.</w:t>
            </w:r>
            <w:r w:rsidR="00B3247E">
              <w:rPr>
                <w:rFonts w:eastAsia="Times New Roman"/>
                <w:color w:val="000000"/>
              </w:rPr>
              <w:t xml:space="preserve"> Customer shall receive a bill credit for</w:t>
            </w:r>
            <w:r w:rsidR="00BE4FD0">
              <w:rPr>
                <w:rFonts w:eastAsia="Times New Roman"/>
                <w:color w:val="000000"/>
              </w:rPr>
              <w:t xml:space="preserve"> over-charges in prior months.</w:t>
            </w:r>
          </w:p>
        </w:tc>
      </w:tr>
      <w:tr w:rsidR="0085467E" w14:paraId="162875E1" w14:textId="77777777" w:rsidTr="727BFE15">
        <w:trPr>
          <w:cnfStyle w:val="000000100000" w:firstRow="0" w:lastRow="0" w:firstColumn="0" w:lastColumn="0" w:oddVBand="0" w:evenVBand="0" w:oddHBand="1" w:evenHBand="0" w:firstRowFirstColumn="0" w:firstRowLastColumn="0" w:lastRowFirstColumn="0" w:lastRowLastColumn="0"/>
          <w:cantSplit/>
        </w:trPr>
        <w:tc>
          <w:tcPr>
            <w:tcW w:w="4220" w:type="dxa"/>
          </w:tcPr>
          <w:p w14:paraId="03E52795" w14:textId="0DC8800A" w:rsidR="0085467E" w:rsidRDefault="07C4BD7B" w:rsidP="00B34E09">
            <w:r w:rsidRPr="727BFE15">
              <w:rPr>
                <w:rFonts w:eastAsia="Times New Roman"/>
                <w:color w:val="000000"/>
              </w:rPr>
              <w:t xml:space="preserve">Some </w:t>
            </w:r>
            <w:r w:rsidR="6FAD6301" w:rsidRPr="727BFE15">
              <w:rPr>
                <w:rFonts w:eastAsia="Times New Roman"/>
                <w:color w:val="000000"/>
              </w:rPr>
              <w:t>C</w:t>
            </w:r>
            <w:r w:rsidRPr="727BFE15">
              <w:rPr>
                <w:rFonts w:eastAsia="Times New Roman"/>
                <w:color w:val="000000"/>
              </w:rPr>
              <w:t xml:space="preserve">ustomers </w:t>
            </w:r>
            <w:r w:rsidR="6FAD6301" w:rsidRPr="727BFE15">
              <w:rPr>
                <w:rFonts w:eastAsia="Times New Roman"/>
                <w:color w:val="000000"/>
              </w:rPr>
              <w:t xml:space="preserve">might </w:t>
            </w:r>
            <w:r w:rsidRPr="727BFE15">
              <w:rPr>
                <w:rFonts w:eastAsia="Times New Roman"/>
                <w:color w:val="000000"/>
              </w:rPr>
              <w:t>experience take-back effects, particularly lower</w:t>
            </w:r>
            <w:r w:rsidR="6FAD6301" w:rsidRPr="727BFE15">
              <w:rPr>
                <w:rFonts w:eastAsia="Times New Roman"/>
                <w:color w:val="000000"/>
              </w:rPr>
              <w:t>-</w:t>
            </w:r>
            <w:r w:rsidRPr="727BFE15">
              <w:rPr>
                <w:rFonts w:eastAsia="Times New Roman"/>
                <w:color w:val="000000"/>
              </w:rPr>
              <w:t xml:space="preserve">income </w:t>
            </w:r>
            <w:r w:rsidR="6FAD6301" w:rsidRPr="727BFE15">
              <w:rPr>
                <w:rFonts w:eastAsia="Times New Roman"/>
                <w:color w:val="000000"/>
              </w:rPr>
              <w:t>C</w:t>
            </w:r>
            <w:r w:rsidRPr="727BFE15">
              <w:rPr>
                <w:rFonts w:eastAsia="Times New Roman"/>
                <w:color w:val="000000"/>
              </w:rPr>
              <w:t>ustomers who practice “voluntary curtailment” (</w:t>
            </w:r>
            <w:r w:rsidR="6FAD6301" w:rsidRPr="727BFE15">
              <w:rPr>
                <w:rFonts w:eastAsia="Times New Roman"/>
                <w:color w:val="000000"/>
              </w:rPr>
              <w:t xml:space="preserve">that is, </w:t>
            </w:r>
            <w:r w:rsidRPr="727BFE15">
              <w:rPr>
                <w:rFonts w:eastAsia="Times New Roman"/>
                <w:color w:val="000000"/>
              </w:rPr>
              <w:t>they under-</w:t>
            </w:r>
            <w:r w:rsidR="6FAD6301" w:rsidRPr="727BFE15">
              <w:rPr>
                <w:rFonts w:eastAsia="Times New Roman"/>
                <w:color w:val="000000"/>
              </w:rPr>
              <w:t>use</w:t>
            </w:r>
            <w:r w:rsidRPr="727BFE15">
              <w:rPr>
                <w:rFonts w:eastAsia="Times New Roman"/>
                <w:color w:val="000000"/>
              </w:rPr>
              <w:t xml:space="preserve"> their heating equipment to save money); </w:t>
            </w:r>
            <w:r w:rsidR="410975E9" w:rsidRPr="727BFE15">
              <w:rPr>
                <w:rFonts w:eastAsia="Times New Roman"/>
                <w:color w:val="000000"/>
              </w:rPr>
              <w:t>plus,</w:t>
            </w:r>
            <w:r w:rsidRPr="727BFE15">
              <w:rPr>
                <w:rFonts w:eastAsia="Times New Roman"/>
                <w:color w:val="000000"/>
              </w:rPr>
              <w:t xml:space="preserve"> all customers who currently lack </w:t>
            </w:r>
            <w:r w:rsidR="3988F31B" w:rsidRPr="727BFE15">
              <w:rPr>
                <w:rFonts w:eastAsia="Times New Roman"/>
                <w:color w:val="000000"/>
              </w:rPr>
              <w:t>air conditioning.</w:t>
            </w:r>
          </w:p>
        </w:tc>
        <w:tc>
          <w:tcPr>
            <w:tcW w:w="4950" w:type="dxa"/>
          </w:tcPr>
          <w:p w14:paraId="4A69579F" w14:textId="784B7F39" w:rsidR="005977DE" w:rsidRDefault="46E8D71D" w:rsidP="005977DE">
            <w:pPr>
              <w:rPr>
                <w:rFonts w:eastAsia="Times New Roman"/>
                <w:color w:val="000000"/>
              </w:rPr>
            </w:pPr>
            <w:r w:rsidRPr="727BFE15">
              <w:rPr>
                <w:rFonts w:eastAsia="Times New Roman"/>
                <w:color w:val="000000"/>
              </w:rPr>
              <w:t xml:space="preserve">To the extent that low-income </w:t>
            </w:r>
            <w:r w:rsidR="3988F31B" w:rsidRPr="727BFE15">
              <w:rPr>
                <w:rFonts w:eastAsia="Times New Roman"/>
                <w:color w:val="000000"/>
              </w:rPr>
              <w:t>C</w:t>
            </w:r>
            <w:r w:rsidRPr="727BFE15">
              <w:rPr>
                <w:rFonts w:eastAsia="Times New Roman"/>
                <w:color w:val="000000"/>
              </w:rPr>
              <w:t>ustomers practicing “voluntary curtailment” can be identified during the planning phase, they should be steered towards direct install programs</w:t>
            </w:r>
            <w:r w:rsidR="3988F31B" w:rsidRPr="727BFE15">
              <w:rPr>
                <w:rFonts w:eastAsia="Times New Roman"/>
                <w:color w:val="000000"/>
              </w:rPr>
              <w:t>,</w:t>
            </w:r>
            <w:r w:rsidRPr="727BFE15">
              <w:rPr>
                <w:rFonts w:eastAsia="Times New Roman"/>
                <w:color w:val="000000"/>
              </w:rPr>
              <w:t xml:space="preserve"> </w:t>
            </w:r>
            <w:r w:rsidR="27BB9830" w:rsidRPr="727BFE15">
              <w:rPr>
                <w:rFonts w:eastAsia="Times New Roman"/>
                <w:color w:val="000000"/>
              </w:rPr>
              <w:t>in lieu of TOB investments</w:t>
            </w:r>
            <w:r w:rsidRPr="727BFE15">
              <w:rPr>
                <w:rFonts w:eastAsia="Times New Roman"/>
                <w:color w:val="000000"/>
              </w:rPr>
              <w:t>.</w:t>
            </w:r>
          </w:p>
          <w:p w14:paraId="0734F85B" w14:textId="674E1473" w:rsidR="0085467E" w:rsidRDefault="07C4BD7B" w:rsidP="00B34E09">
            <w:r w:rsidRPr="727BFE15">
              <w:rPr>
                <w:rFonts w:eastAsia="Times New Roman"/>
                <w:color w:val="000000"/>
              </w:rPr>
              <w:t>A</w:t>
            </w:r>
            <w:r w:rsidR="6675317D" w:rsidRPr="727BFE15">
              <w:rPr>
                <w:rFonts w:eastAsia="Times New Roman"/>
                <w:color w:val="000000"/>
              </w:rPr>
              <w:t xml:space="preserve">lternatively, </w:t>
            </w:r>
            <w:r w:rsidR="3988F31B" w:rsidRPr="727BFE15">
              <w:rPr>
                <w:rFonts w:eastAsia="Times New Roman"/>
                <w:color w:val="000000"/>
              </w:rPr>
              <w:t xml:space="preserve">a </w:t>
            </w:r>
            <w:r w:rsidR="6675317D" w:rsidRPr="727BFE15">
              <w:rPr>
                <w:rFonts w:eastAsia="Times New Roman"/>
                <w:color w:val="000000"/>
              </w:rPr>
              <w:t xml:space="preserve">rooftop solar and battery storage system could be added </w:t>
            </w:r>
            <w:r w:rsidRPr="727BFE15">
              <w:rPr>
                <w:rFonts w:eastAsia="Times New Roman"/>
                <w:color w:val="000000"/>
              </w:rPr>
              <w:t xml:space="preserve">offset </w:t>
            </w:r>
            <w:r w:rsidR="059E442E" w:rsidRPr="727BFE15">
              <w:rPr>
                <w:rFonts w:eastAsia="Times New Roman"/>
                <w:color w:val="000000"/>
              </w:rPr>
              <w:t xml:space="preserve">new </w:t>
            </w:r>
            <w:r w:rsidRPr="727BFE15">
              <w:rPr>
                <w:rFonts w:eastAsia="Times New Roman"/>
                <w:color w:val="000000"/>
              </w:rPr>
              <w:t>loads, especially new cooling loads.</w:t>
            </w:r>
          </w:p>
        </w:tc>
      </w:tr>
    </w:tbl>
    <w:p w14:paraId="33404269" w14:textId="77777777" w:rsidR="00126CED" w:rsidRDefault="00126CED" w:rsidP="00126CED">
      <w:pPr>
        <w:rPr>
          <w:rFonts w:eastAsia="Times New Roman"/>
          <w:color w:val="000000"/>
        </w:rPr>
      </w:pPr>
    </w:p>
    <w:p w14:paraId="47952CFF" w14:textId="71865449" w:rsidR="002D7059" w:rsidRDefault="38566B32" w:rsidP="002D7059">
      <w:r>
        <w:t xml:space="preserve">As part of the </w:t>
      </w:r>
      <w:r w:rsidR="19D9C376">
        <w:t>Program</w:t>
      </w:r>
      <w:r>
        <w:t xml:space="preserve">’s field research into scalable delivery models, </w:t>
      </w:r>
      <w:r w:rsidR="1E44015F">
        <w:t xml:space="preserve">[Program Sponsor] </w:t>
      </w:r>
      <w:r>
        <w:t xml:space="preserve">will also test the viability of less expensive guarantee strategies for a production-scale program. In particular, </w:t>
      </w:r>
      <w:r w:rsidR="1E44015F">
        <w:t xml:space="preserve">[Program Sponsor] </w:t>
      </w:r>
      <w:r>
        <w:t xml:space="preserve">will investigate alternatives that do not require phone interviews and site inspections, which would be challenging to perform at scale. For different guarantee strategies, </w:t>
      </w:r>
      <w:r w:rsidR="1E44015F">
        <w:t xml:space="preserve">[Program Sponsor] </w:t>
      </w:r>
      <w:r>
        <w:t>will back</w:t>
      </w:r>
      <w:r w:rsidR="1E44015F">
        <w:t>-</w:t>
      </w:r>
      <w:r>
        <w:t>cast what the results would have been</w:t>
      </w:r>
      <w:r w:rsidR="1E44015F">
        <w:t>,</w:t>
      </w:r>
      <w:r>
        <w:t xml:space="preserve"> had </w:t>
      </w:r>
      <w:r w:rsidR="1E44015F">
        <w:t xml:space="preserve">[Program Sponsor] </w:t>
      </w:r>
      <w:r>
        <w:t xml:space="preserve">applied them to the </w:t>
      </w:r>
      <w:r w:rsidR="19D9C376">
        <w:t>Program</w:t>
      </w:r>
      <w:r>
        <w:t xml:space="preserve"> participants</w:t>
      </w:r>
      <w:r w:rsidR="1CB43501">
        <w:t>. This back-casting might explore w</w:t>
      </w:r>
      <w:r>
        <w:t>hat fraction of guarantee</w:t>
      </w:r>
      <w:r w:rsidR="1CB43501">
        <w:t>d</w:t>
      </w:r>
      <w:r>
        <w:t xml:space="preserve"> outcomes would have resulted in either false</w:t>
      </w:r>
      <w:r w:rsidR="1CB43501">
        <w:t>-</w:t>
      </w:r>
      <w:r>
        <w:t>positive</w:t>
      </w:r>
      <w:r w:rsidR="6173B1EA">
        <w:t>s</w:t>
      </w:r>
      <w:r>
        <w:t xml:space="preserve"> (</w:t>
      </w:r>
      <w:r w:rsidR="6173B1EA">
        <w:t>that is, C</w:t>
      </w:r>
      <w:r>
        <w:t xml:space="preserve">ustomers would have received unmerited </w:t>
      </w:r>
      <w:r w:rsidR="6173B1EA">
        <w:t>S</w:t>
      </w:r>
      <w:r>
        <w:t xml:space="preserve">ervice </w:t>
      </w:r>
      <w:r w:rsidR="6173B1EA">
        <w:t>C</w:t>
      </w:r>
      <w:r>
        <w:t>harge discounts) or false negatives (</w:t>
      </w:r>
      <w:r w:rsidR="6173B1EA">
        <w:t>C</w:t>
      </w:r>
      <w:r>
        <w:t xml:space="preserve">ustomers would have merited </w:t>
      </w:r>
      <w:r w:rsidR="6173B1EA">
        <w:t>S</w:t>
      </w:r>
      <w:r>
        <w:t xml:space="preserve">ervice </w:t>
      </w:r>
      <w:r w:rsidR="6173B1EA">
        <w:t>C</w:t>
      </w:r>
      <w:r>
        <w:t>harge discounts or other mitigations</w:t>
      </w:r>
      <w:r w:rsidR="6173B1EA">
        <w:t>,</w:t>
      </w:r>
      <w:r>
        <w:t xml:space="preserve"> but failed to receive them). What would have been the cost to the program to provide the guarantee?</w:t>
      </w:r>
    </w:p>
    <w:p w14:paraId="27F1B36B" w14:textId="7A094869" w:rsidR="00126CED" w:rsidRDefault="53E42583" w:rsidP="18E16826">
      <w:pPr>
        <w:pStyle w:val="ListParagraph"/>
        <w:numPr>
          <w:ilvl w:val="0"/>
          <w:numId w:val="27"/>
        </w:numPr>
        <w:spacing w:before="80" w:line="276" w:lineRule="auto"/>
        <w:rPr>
          <w:rFonts w:eastAsia="Times New Roman"/>
        </w:rPr>
      </w:pPr>
      <w:r w:rsidRPr="727BFE15">
        <w:rPr>
          <w:rFonts w:eastAsia="Times New Roman"/>
          <w:b/>
          <w:bCs/>
        </w:rPr>
        <w:t>Option 1.</w:t>
      </w:r>
      <w:r w:rsidRPr="727BFE15">
        <w:rPr>
          <w:rFonts w:eastAsia="Times New Roman"/>
        </w:rPr>
        <w:t xml:space="preserve"> Site-specific guarantee of </w:t>
      </w:r>
      <w:r w:rsidR="51DE6F09" w:rsidRPr="727BFE15">
        <w:rPr>
          <w:rFonts w:eastAsia="Times New Roman"/>
        </w:rPr>
        <w:t>weather-norm</w:t>
      </w:r>
      <w:r w:rsidR="4824F4BB" w:rsidRPr="727BFE15">
        <w:rPr>
          <w:rFonts w:eastAsia="Times New Roman"/>
        </w:rPr>
        <w:t>a</w:t>
      </w:r>
      <w:r w:rsidR="51DE6F09" w:rsidRPr="727BFE15">
        <w:rPr>
          <w:rFonts w:eastAsia="Times New Roman"/>
        </w:rPr>
        <w:t xml:space="preserve">lized </w:t>
      </w:r>
      <w:r w:rsidRPr="727BFE15">
        <w:rPr>
          <w:rFonts w:eastAsia="Times New Roman"/>
        </w:rPr>
        <w:t>end use consumption based on end use submetered results</w:t>
      </w:r>
    </w:p>
    <w:p w14:paraId="7E7CD374" w14:textId="762A59AC" w:rsidR="00126CED" w:rsidRDefault="53E42583" w:rsidP="727BFE15">
      <w:pPr>
        <w:pStyle w:val="ListParagraph"/>
        <w:numPr>
          <w:ilvl w:val="0"/>
          <w:numId w:val="27"/>
        </w:numPr>
        <w:spacing w:before="80" w:line="276" w:lineRule="auto"/>
      </w:pPr>
      <w:r w:rsidRPr="727BFE15">
        <w:rPr>
          <w:rFonts w:eastAsia="Times New Roman"/>
          <w:b/>
          <w:bCs/>
        </w:rPr>
        <w:t>Option 2.</w:t>
      </w:r>
      <w:r w:rsidRPr="727BFE15">
        <w:rPr>
          <w:rFonts w:eastAsia="Times New Roman"/>
        </w:rPr>
        <w:t xml:space="preserve"> Site-specific guarantee of</w:t>
      </w:r>
      <w:r w:rsidR="4824F4BB" w:rsidRPr="727BFE15">
        <w:rPr>
          <w:rFonts w:eastAsia="Times New Roman"/>
        </w:rPr>
        <w:t xml:space="preserve"> weather-normalized</w:t>
      </w:r>
      <w:r w:rsidRPr="727BFE15">
        <w:rPr>
          <w:rFonts w:eastAsia="Times New Roman"/>
        </w:rPr>
        <w:t xml:space="preserve"> end use consumption based on end use disaggregation of whole</w:t>
      </w:r>
      <w:r w:rsidR="58419EA8" w:rsidRPr="727BFE15">
        <w:rPr>
          <w:rFonts w:eastAsia="Times New Roman"/>
        </w:rPr>
        <w:t>-</w:t>
      </w:r>
      <w:r w:rsidRPr="727BFE15">
        <w:rPr>
          <w:rFonts w:eastAsia="Times New Roman"/>
        </w:rPr>
        <w:t>building consumption, combined with performance data from smart thermostats and other Internet-enabled sensors</w:t>
      </w:r>
    </w:p>
    <w:p w14:paraId="15C90334" w14:textId="441EBC93" w:rsidR="00126CED" w:rsidRDefault="53E42583" w:rsidP="006907F8">
      <w:pPr>
        <w:pStyle w:val="ListParagraph"/>
        <w:numPr>
          <w:ilvl w:val="0"/>
          <w:numId w:val="27"/>
        </w:numPr>
        <w:spacing w:before="80" w:line="276" w:lineRule="auto"/>
      </w:pPr>
      <w:r w:rsidRPr="727BFE15">
        <w:rPr>
          <w:rFonts w:eastAsia="Times New Roman"/>
          <w:b/>
          <w:bCs/>
        </w:rPr>
        <w:t>Option 3.</w:t>
      </w:r>
      <w:r w:rsidRPr="727BFE15">
        <w:rPr>
          <w:rFonts w:eastAsia="Times New Roman"/>
        </w:rPr>
        <w:t xml:space="preserve"> Site-specific guarantee of whole</w:t>
      </w:r>
      <w:r w:rsidR="58419EA8" w:rsidRPr="727BFE15">
        <w:rPr>
          <w:rFonts w:eastAsia="Times New Roman"/>
        </w:rPr>
        <w:t>-</w:t>
      </w:r>
      <w:r w:rsidRPr="727BFE15">
        <w:rPr>
          <w:rFonts w:eastAsia="Times New Roman"/>
        </w:rPr>
        <w:t xml:space="preserve">house </w:t>
      </w:r>
      <w:r w:rsidR="58419EA8" w:rsidRPr="727BFE15">
        <w:rPr>
          <w:rFonts w:eastAsia="Times New Roman"/>
        </w:rPr>
        <w:t xml:space="preserve">energy </w:t>
      </w:r>
      <w:r w:rsidRPr="727BFE15">
        <w:rPr>
          <w:rFonts w:eastAsia="Times New Roman"/>
        </w:rPr>
        <w:t>consumption</w:t>
      </w:r>
    </w:p>
    <w:p w14:paraId="5B8C9152" w14:textId="0FD7FC74" w:rsidR="00126CED" w:rsidRDefault="53E42583" w:rsidP="006907F8">
      <w:pPr>
        <w:pStyle w:val="ListParagraph"/>
        <w:numPr>
          <w:ilvl w:val="0"/>
          <w:numId w:val="27"/>
        </w:numPr>
        <w:spacing w:before="80" w:line="276" w:lineRule="auto"/>
      </w:pPr>
      <w:r w:rsidRPr="727BFE15">
        <w:rPr>
          <w:rFonts w:eastAsia="Times New Roman"/>
          <w:b/>
          <w:bCs/>
        </w:rPr>
        <w:t>Option 4.</w:t>
      </w:r>
      <w:r w:rsidRPr="727BFE15">
        <w:rPr>
          <w:rFonts w:eastAsia="Times New Roman"/>
        </w:rPr>
        <w:t xml:space="preserve"> Population-level guarantee. If population realization rate after one year of performance is less than </w:t>
      </w:r>
      <w:r w:rsidR="6DE0FB42" w:rsidRPr="727BFE15">
        <w:rPr>
          <w:rFonts w:eastAsia="Times New Roman"/>
        </w:rPr>
        <w:t>1</w:t>
      </w:r>
      <w:r w:rsidRPr="727BFE15">
        <w:rPr>
          <w:rFonts w:eastAsia="Times New Roman"/>
        </w:rPr>
        <w:t xml:space="preserve">, then </w:t>
      </w:r>
      <w:r w:rsidR="3F901688" w:rsidRPr="727BFE15">
        <w:rPr>
          <w:rFonts w:eastAsia="Times New Roman"/>
        </w:rPr>
        <w:t xml:space="preserve">apply </w:t>
      </w:r>
      <w:r w:rsidRPr="727BFE15">
        <w:rPr>
          <w:rFonts w:eastAsia="Times New Roman"/>
        </w:rPr>
        <w:t>discount</w:t>
      </w:r>
      <w:r w:rsidR="3F901688" w:rsidRPr="727BFE15">
        <w:rPr>
          <w:rFonts w:eastAsia="Times New Roman"/>
        </w:rPr>
        <w:t>s to</w:t>
      </w:r>
      <w:r w:rsidRPr="727BFE15">
        <w:rPr>
          <w:rFonts w:eastAsia="Times New Roman"/>
        </w:rPr>
        <w:t xml:space="preserve"> </w:t>
      </w:r>
      <w:r w:rsidR="6DE0FB42" w:rsidRPr="727BFE15">
        <w:rPr>
          <w:rFonts w:eastAsia="Times New Roman"/>
        </w:rPr>
        <w:t>S</w:t>
      </w:r>
      <w:r w:rsidR="3F901688" w:rsidRPr="727BFE15">
        <w:rPr>
          <w:rFonts w:eastAsia="Times New Roman"/>
        </w:rPr>
        <w:t xml:space="preserve">ervice </w:t>
      </w:r>
      <w:r w:rsidR="6DE0FB42" w:rsidRPr="727BFE15">
        <w:rPr>
          <w:rFonts w:eastAsia="Times New Roman"/>
        </w:rPr>
        <w:t>C</w:t>
      </w:r>
      <w:r w:rsidR="3F901688" w:rsidRPr="727BFE15">
        <w:rPr>
          <w:rFonts w:eastAsia="Times New Roman"/>
        </w:rPr>
        <w:t>harges for the subset of participants with low project-level</w:t>
      </w:r>
      <w:r w:rsidR="0EEF10ED" w:rsidRPr="727BFE15">
        <w:rPr>
          <w:rFonts w:eastAsia="Times New Roman"/>
        </w:rPr>
        <w:t xml:space="preserve"> realization rates</w:t>
      </w:r>
      <w:r w:rsidRPr="727BFE15">
        <w:rPr>
          <w:rFonts w:eastAsia="Times New Roman"/>
        </w:rPr>
        <w:t>.</w:t>
      </w:r>
    </w:p>
    <w:p w14:paraId="3AAFCFCE" w14:textId="77777777" w:rsidR="00126CED" w:rsidRDefault="53E42583" w:rsidP="006907F8">
      <w:pPr>
        <w:pStyle w:val="ListParagraph"/>
        <w:numPr>
          <w:ilvl w:val="0"/>
          <w:numId w:val="27"/>
        </w:numPr>
        <w:spacing w:before="80" w:line="276" w:lineRule="auto"/>
      </w:pPr>
      <w:r w:rsidRPr="727BFE15">
        <w:rPr>
          <w:rFonts w:eastAsia="Times New Roman"/>
          <w:b/>
          <w:bCs/>
        </w:rPr>
        <w:t xml:space="preserve">Option 5. </w:t>
      </w:r>
      <w:r w:rsidRPr="727BFE15">
        <w:rPr>
          <w:rFonts w:eastAsia="Times New Roman"/>
        </w:rPr>
        <w:t>No guarantee.</w:t>
      </w:r>
    </w:p>
    <w:p w14:paraId="23A02F37" w14:textId="77777777" w:rsidR="00D80966" w:rsidRDefault="00D80966" w:rsidP="00D80966">
      <w:pPr>
        <w:pStyle w:val="Heading3"/>
      </w:pPr>
      <w:r>
        <w:t xml:space="preserve">Equipment Operating and Maintenance Risks </w:t>
      </w:r>
    </w:p>
    <w:p w14:paraId="53402353" w14:textId="0B5DBE42" w:rsidR="00D80966" w:rsidRDefault="09820B33" w:rsidP="00D80966">
      <w:r>
        <w:t xml:space="preserve">The </w:t>
      </w:r>
      <w:r w:rsidR="6DE0FB42">
        <w:t>C</w:t>
      </w:r>
      <w:r>
        <w:t xml:space="preserve">ustomer protections required to mitigate equipment </w:t>
      </w:r>
      <w:r w:rsidR="7E836D6A">
        <w:t>operating and maintenance</w:t>
      </w:r>
      <w:r>
        <w:t xml:space="preserve"> risks mirror the protections that </w:t>
      </w:r>
      <w:r w:rsidR="7E836D6A">
        <w:t>Program Sponsors</w:t>
      </w:r>
      <w:r>
        <w:t xml:space="preserve"> and their Program Operators should take to mitigate their own business risks relating to </w:t>
      </w:r>
      <w:r w:rsidR="7E836D6A">
        <w:t>recovery of Program Service Charges</w:t>
      </w:r>
      <w:r>
        <w:t xml:space="preserve">. The guiding principles adopted here are that the </w:t>
      </w:r>
      <w:r w:rsidR="7D3B8A60">
        <w:t>P</w:t>
      </w:r>
      <w:r>
        <w:t xml:space="preserve">rogram must be responsible for ensuring that improvements perform as designed, whereas the property owner and occupant must take responsibility for proper operations and maintenance in keeping with manufacturer’s recommendations. </w:t>
      </w:r>
    </w:p>
    <w:p w14:paraId="5E9818E4" w14:textId="121D3108" w:rsidR="00D80966" w:rsidRDefault="09820B33" w:rsidP="00D80966">
      <w:r>
        <w:t xml:space="preserve">Customer protection protocols for operationalizing these principles </w:t>
      </w:r>
      <w:r w:rsidR="7D3B8A60">
        <w:t>are</w:t>
      </w:r>
      <w:r>
        <w:t xml:space="preserve">: </w:t>
      </w:r>
    </w:p>
    <w:p w14:paraId="0BFFD8B2" w14:textId="1C34496A" w:rsidR="00D80966" w:rsidRDefault="09820B33" w:rsidP="727BFE15">
      <w:pPr>
        <w:pStyle w:val="ListParagraph"/>
        <w:numPr>
          <w:ilvl w:val="0"/>
          <w:numId w:val="29"/>
        </w:numPr>
        <w:spacing w:before="80" w:line="276" w:lineRule="auto"/>
        <w:rPr>
          <w:rFonts w:eastAsiaTheme="minorEastAsia" w:cstheme="minorBidi"/>
        </w:rPr>
      </w:pPr>
      <w:r>
        <w:t xml:space="preserve">Terms enumerated in the TOB tariff </w:t>
      </w:r>
    </w:p>
    <w:p w14:paraId="7128CD6C" w14:textId="3BCB4CAF" w:rsidR="00D80966" w:rsidRDefault="09820B33" w:rsidP="00D80966">
      <w:pPr>
        <w:pStyle w:val="ListParagraph"/>
        <w:numPr>
          <w:ilvl w:val="1"/>
          <w:numId w:val="29"/>
        </w:numPr>
        <w:spacing w:before="80" w:line="276" w:lineRule="auto"/>
      </w:pPr>
      <w:r w:rsidRPr="727BFE15">
        <w:rPr>
          <w:rFonts w:eastAsia="Lato"/>
        </w:rPr>
        <w:t>Charges stop if upgrades stop working until they are repaired and working again. Charges are also suspended for vacancy</w:t>
      </w:r>
      <w:r w:rsidR="7D3B8A60" w:rsidRPr="727BFE15">
        <w:rPr>
          <w:rFonts w:eastAsia="Lato"/>
        </w:rPr>
        <w:t>,</w:t>
      </w:r>
      <w:r w:rsidRPr="727BFE15">
        <w:rPr>
          <w:rFonts w:eastAsia="Lato"/>
        </w:rPr>
        <w:t xml:space="preserve"> if </w:t>
      </w:r>
      <w:r w:rsidR="7D3B8A60" w:rsidRPr="727BFE15">
        <w:rPr>
          <w:rFonts w:eastAsia="Lato"/>
        </w:rPr>
        <w:t xml:space="preserve">the </w:t>
      </w:r>
      <w:r w:rsidRPr="727BFE15">
        <w:rPr>
          <w:rFonts w:eastAsia="Lato"/>
        </w:rPr>
        <w:t>meter is shut off.</w:t>
      </w:r>
    </w:p>
    <w:p w14:paraId="455DA13E" w14:textId="377F04FF" w:rsidR="00D80966" w:rsidRDefault="09820B33" w:rsidP="727BFE15">
      <w:pPr>
        <w:pStyle w:val="ListParagraph"/>
        <w:numPr>
          <w:ilvl w:val="1"/>
          <w:numId w:val="29"/>
        </w:numPr>
        <w:spacing w:before="80" w:line="276" w:lineRule="auto"/>
        <w:rPr>
          <w:rFonts w:eastAsiaTheme="minorEastAsia" w:cstheme="minorBidi"/>
        </w:rPr>
      </w:pPr>
      <w:r>
        <w:t xml:space="preserve">Repairs or vacancy </w:t>
      </w:r>
      <w:r w:rsidR="7D3B8A60">
        <w:t xml:space="preserve">may </w:t>
      </w:r>
      <w:r>
        <w:t>extend the duration of charges</w:t>
      </w:r>
      <w:r w:rsidR="7D3B8A60">
        <w:t>,</w:t>
      </w:r>
      <w:r>
        <w:t xml:space="preserve"> but not increase the monthly payment amount.</w:t>
      </w:r>
    </w:p>
    <w:p w14:paraId="72E3A72D" w14:textId="77777777" w:rsidR="00D80966" w:rsidRDefault="00D80966" w:rsidP="00D80966">
      <w:pPr>
        <w:pStyle w:val="ListParagraph"/>
        <w:numPr>
          <w:ilvl w:val="0"/>
          <w:numId w:val="29"/>
        </w:numPr>
        <w:spacing w:before="80" w:line="276" w:lineRule="auto"/>
        <w:rPr>
          <w:rFonts w:eastAsiaTheme="minorEastAsia" w:cstheme="minorBidi"/>
        </w:rPr>
      </w:pPr>
      <w:r>
        <w:t>Program-sponsored quality-control inspections and acceptance testing of equipment installations on at least a sampled basis</w:t>
      </w:r>
    </w:p>
    <w:p w14:paraId="22915C37" w14:textId="77777777" w:rsidR="00D80966" w:rsidRDefault="00D80966" w:rsidP="00D80966">
      <w:pPr>
        <w:pStyle w:val="ListParagraph"/>
        <w:numPr>
          <w:ilvl w:val="0"/>
          <w:numId w:val="29"/>
        </w:numPr>
        <w:spacing w:before="80" w:line="276" w:lineRule="auto"/>
        <w:rPr>
          <w:rFonts w:eastAsiaTheme="minorEastAsia" w:cstheme="minorBidi"/>
          <w:szCs w:val="22"/>
        </w:rPr>
      </w:pPr>
      <w:r>
        <w:t>Requirements for minimum 10-year manufacturer warranties on installed equipment</w:t>
      </w:r>
    </w:p>
    <w:p w14:paraId="3D8B6EFD" w14:textId="77777777" w:rsidR="00D80966" w:rsidRDefault="00D80966" w:rsidP="00D80966">
      <w:pPr>
        <w:pStyle w:val="ListParagraph"/>
        <w:numPr>
          <w:ilvl w:val="0"/>
          <w:numId w:val="29"/>
        </w:numPr>
        <w:spacing w:before="80" w:line="276" w:lineRule="auto"/>
        <w:rPr>
          <w:rFonts w:eastAsiaTheme="minorEastAsia" w:cstheme="minorBidi"/>
          <w:szCs w:val="22"/>
        </w:rPr>
      </w:pPr>
      <w:r>
        <w:t>Requirement for the installing contractor to provide a one-year warranty on labor</w:t>
      </w:r>
    </w:p>
    <w:p w14:paraId="292DC4EA" w14:textId="49C440AC" w:rsidR="00D80966" w:rsidRDefault="09820B33" w:rsidP="727BFE15">
      <w:pPr>
        <w:pStyle w:val="ListParagraph"/>
        <w:numPr>
          <w:ilvl w:val="0"/>
          <w:numId w:val="29"/>
        </w:numPr>
        <w:spacing w:before="80" w:line="276" w:lineRule="auto"/>
        <w:rPr>
          <w:rFonts w:eastAsiaTheme="minorEastAsia" w:cstheme="minorBidi"/>
        </w:rPr>
      </w:pPr>
      <w:r>
        <w:t>“Big data” analytics of metered energy consumption data, smart thermostat data (HVAC), and hot water controls to detect possible instances of equipment performing outside design parameters</w:t>
      </w:r>
    </w:p>
    <w:p w14:paraId="581B106B" w14:textId="57DD6CC8" w:rsidR="00D2386E" w:rsidRDefault="00D2386E" w:rsidP="00D80966">
      <w:pPr>
        <w:pStyle w:val="ListParagraph"/>
        <w:numPr>
          <w:ilvl w:val="0"/>
          <w:numId w:val="29"/>
        </w:numPr>
        <w:spacing w:before="80" w:line="276" w:lineRule="auto"/>
        <w:rPr>
          <w:rFonts w:eastAsiaTheme="minorEastAsia" w:cstheme="minorBidi"/>
          <w:szCs w:val="22"/>
        </w:rPr>
      </w:pPr>
      <w:r>
        <w:rPr>
          <w:rFonts w:eastAsiaTheme="minorEastAsia" w:cstheme="minorBidi"/>
          <w:szCs w:val="22"/>
        </w:rPr>
        <w:t xml:space="preserve">Customer enrollment in </w:t>
      </w:r>
      <w:r w:rsidR="00CC015D">
        <w:rPr>
          <w:rFonts w:eastAsiaTheme="minorEastAsia" w:cstheme="minorBidi"/>
          <w:szCs w:val="22"/>
        </w:rPr>
        <w:t>P</w:t>
      </w:r>
      <w:r>
        <w:rPr>
          <w:rFonts w:eastAsiaTheme="minorEastAsia" w:cstheme="minorBidi"/>
          <w:szCs w:val="22"/>
        </w:rPr>
        <w:t>rogram-sponsored annual maintenance plans spanning the full cost recovery period</w:t>
      </w:r>
    </w:p>
    <w:p w14:paraId="64A30FFE" w14:textId="76EB7302" w:rsidR="00CC015D" w:rsidRPr="00FF62ED" w:rsidRDefault="00CC015D" w:rsidP="00D80966">
      <w:pPr>
        <w:pStyle w:val="ListParagraph"/>
        <w:numPr>
          <w:ilvl w:val="0"/>
          <w:numId w:val="29"/>
        </w:numPr>
        <w:spacing w:before="80" w:line="276" w:lineRule="auto"/>
        <w:rPr>
          <w:rFonts w:eastAsiaTheme="minorEastAsia" w:cstheme="minorBidi"/>
          <w:szCs w:val="22"/>
        </w:rPr>
      </w:pPr>
      <w:r>
        <w:rPr>
          <w:rFonts w:eastAsiaTheme="minorEastAsia" w:cstheme="minorBidi"/>
          <w:szCs w:val="22"/>
        </w:rPr>
        <w:t>Program surcharge for repair insurance</w:t>
      </w:r>
    </w:p>
    <w:p w14:paraId="491D8564" w14:textId="0739E2AA" w:rsidR="00C00A29" w:rsidRDefault="09820B33" w:rsidP="00D80966">
      <w:r w:rsidRPr="727BFE15">
        <w:rPr>
          <w:rFonts w:eastAsiaTheme="minorEastAsia" w:cstheme="minorBidi"/>
        </w:rPr>
        <w:t xml:space="preserve">To assist the </w:t>
      </w:r>
      <w:r>
        <w:t xml:space="preserve">property </w:t>
      </w:r>
      <w:r w:rsidR="2B3913E8">
        <w:t>O</w:t>
      </w:r>
      <w:r>
        <w:t xml:space="preserve">wner and occupant with proper operations and maintenance, the Program will offer annual maintenance </w:t>
      </w:r>
      <w:r w:rsidR="2C36E02C">
        <w:t>services</w:t>
      </w:r>
      <w:r>
        <w:t xml:space="preserve"> for installed mechanical equipment. </w:t>
      </w:r>
      <w:r w:rsidR="2C36E02C">
        <w:t>A</w:t>
      </w:r>
      <w:r>
        <w:t xml:space="preserve"> service technician will make annual site visits to perform routine maintenance and equipment tune-ups per manufacturers’ recommendations</w:t>
      </w:r>
      <w:r w:rsidR="486C9D65">
        <w:t xml:space="preserve"> for appliances installed as part of the Program</w:t>
      </w:r>
      <w:r>
        <w:t>. The service technician will also investigate any comfort or energy service complaints, check for equipment operating schedules to ensure they remain optimized for both energy services and cost, and confirm that all remote monitoring capabilities remain functional.</w:t>
      </w:r>
      <w:r w:rsidR="318EB759">
        <w:t xml:space="preserve"> Service visits will be available for the full cost recovery period.</w:t>
      </w:r>
      <w:r>
        <w:t xml:space="preserve"> The plan will also incorporate a no-fault repair guarantee to cover all repair costs that are not otherwise covered by warranty, and which do not originate from the customer’s removal of equipment, intentional damage, or gross negligence.</w:t>
      </w:r>
      <w:r w:rsidR="632DD86C">
        <w:t xml:space="preserve"> </w:t>
      </w:r>
    </w:p>
    <w:p w14:paraId="6A506CE6" w14:textId="4EFDDE96" w:rsidR="00D80966" w:rsidRDefault="09820B33" w:rsidP="00D80966">
      <w:pPr>
        <w:spacing w:before="80" w:line="276" w:lineRule="auto"/>
      </w:pPr>
      <w:r>
        <w:t>The Program will negotiate annual maintenance plan fees</w:t>
      </w:r>
      <w:r w:rsidR="2B3913E8">
        <w:t xml:space="preserve">, in bulk, </w:t>
      </w:r>
      <w:r>
        <w:t xml:space="preserve">with participating installers. It is anticipated that the Program will be able to secure more favorable pricing than </w:t>
      </w:r>
      <w:r w:rsidR="2B3913E8">
        <w:t>C</w:t>
      </w:r>
      <w:r>
        <w:t>ustomers would be able to find on the open market.</w:t>
      </w:r>
    </w:p>
    <w:p w14:paraId="7B15B1D5" w14:textId="77777777" w:rsidR="004016B6" w:rsidRDefault="004016B6" w:rsidP="004016B6">
      <w:pPr>
        <w:pStyle w:val="Heading3"/>
        <w:rPr>
          <w:rStyle w:val="Heading4Char"/>
          <w:rFonts w:asciiTheme="majorHAnsi" w:eastAsiaTheme="majorEastAsia" w:hAnsiTheme="majorHAnsi" w:cstheme="majorBidi"/>
          <w:b/>
          <w:bCs/>
          <w:caps w:val="0"/>
          <w:color w:val="056177" w:themeColor="accent1" w:themeShade="80"/>
          <w:spacing w:val="0"/>
          <w:sz w:val="24"/>
          <w:szCs w:val="24"/>
        </w:rPr>
      </w:pPr>
      <w:r>
        <w:rPr>
          <w:rStyle w:val="Heading4Char"/>
          <w:rFonts w:asciiTheme="majorHAnsi" w:eastAsiaTheme="majorEastAsia" w:hAnsiTheme="majorHAnsi" w:cstheme="majorBidi"/>
          <w:b/>
          <w:bCs/>
          <w:caps w:val="0"/>
          <w:color w:val="056177" w:themeColor="accent1" w:themeShade="80"/>
          <w:spacing w:val="0"/>
          <w:sz w:val="24"/>
          <w:szCs w:val="24"/>
        </w:rPr>
        <w:t>Tenant Protections</w:t>
      </w:r>
    </w:p>
    <w:p w14:paraId="44C3A5C2" w14:textId="75CD8029" w:rsidR="00472987" w:rsidRDefault="00472987" w:rsidP="004016B6">
      <w:r w:rsidRPr="00472987">
        <w:t xml:space="preserve">Landlords have a fiduciary duty to provide space heating and hot water services to their tenants. Providing program funds with tariffed cost recovery for the full replacement cost of old mechanical systems would unfairly shift that financial burden from landlords to tenants. For this reason, </w:t>
      </w:r>
      <w:r w:rsidR="000C69ED">
        <w:t xml:space="preserve">the </w:t>
      </w:r>
      <w:r w:rsidR="00FF62ED">
        <w:t>Program</w:t>
      </w:r>
      <w:r w:rsidR="000C69ED">
        <w:t xml:space="preserve"> will</w:t>
      </w:r>
      <w:r w:rsidRPr="00472987">
        <w:t xml:space="preserve"> incorporate landlord co-payment provisions for water heating and space conditioning upgrades. </w:t>
      </w:r>
    </w:p>
    <w:p w14:paraId="66870D74" w14:textId="1EAC6B00" w:rsidR="00D52343" w:rsidRDefault="5AED01F0" w:rsidP="004016B6">
      <w:r>
        <w:t xml:space="preserve">In cases where the </w:t>
      </w:r>
      <w:r w:rsidR="2763EE0E" w:rsidRPr="727BFE15">
        <w:rPr>
          <w:rFonts w:eastAsia="Lato"/>
        </w:rPr>
        <w:t xml:space="preserve">available TOB capital, </w:t>
      </w:r>
      <w:r w:rsidR="1802C7EA" w:rsidRPr="727BFE15">
        <w:rPr>
          <w:rFonts w:eastAsia="Lato"/>
        </w:rPr>
        <w:t>as determined by</w:t>
      </w:r>
      <w:r w:rsidR="2763EE0E" w:rsidRPr="727BFE15">
        <w:rPr>
          <w:rFonts w:eastAsia="Lato"/>
        </w:rPr>
        <w:t xml:space="preserve"> the expected lifecycle savings</w:t>
      </w:r>
      <w:r w:rsidR="1421655E" w:rsidRPr="727BFE15">
        <w:rPr>
          <w:rFonts w:eastAsia="Lato"/>
        </w:rPr>
        <w:t xml:space="preserve"> from installed measures</w:t>
      </w:r>
      <w:r w:rsidR="2763EE0E" w:rsidRPr="727BFE15">
        <w:rPr>
          <w:rFonts w:eastAsia="Lato"/>
        </w:rPr>
        <w:t>, exceeds the</w:t>
      </w:r>
      <w:r w:rsidR="3BD77890" w:rsidRPr="727BFE15">
        <w:rPr>
          <w:rFonts w:eastAsia="Lato"/>
        </w:rPr>
        <w:t xml:space="preserve"> tenant</w:t>
      </w:r>
      <w:r w:rsidR="1421655E" w:rsidRPr="727BFE15">
        <w:rPr>
          <w:rFonts w:eastAsia="Lato"/>
        </w:rPr>
        <w:t xml:space="preserve"> </w:t>
      </w:r>
      <w:r w:rsidR="3BD77890" w:rsidRPr="727BFE15">
        <w:rPr>
          <w:rFonts w:eastAsia="Lato"/>
        </w:rPr>
        <w:t>share of the investment</w:t>
      </w:r>
      <w:r w:rsidR="62890C3D" w:rsidRPr="727BFE15">
        <w:rPr>
          <w:rFonts w:eastAsia="Lato"/>
        </w:rPr>
        <w:t xml:space="preserve"> (</w:t>
      </w:r>
      <w:r w:rsidR="1421655E" w:rsidRPr="727BFE15">
        <w:rPr>
          <w:rFonts w:eastAsia="Lato"/>
        </w:rPr>
        <w:t xml:space="preserve">that is, </w:t>
      </w:r>
      <w:r w:rsidR="62890C3D" w:rsidRPr="727BFE15">
        <w:rPr>
          <w:rFonts w:eastAsia="Lato"/>
        </w:rPr>
        <w:t>the</w:t>
      </w:r>
      <w:r w:rsidR="2763EE0E" w:rsidRPr="727BFE15">
        <w:rPr>
          <w:rFonts w:eastAsia="Lato"/>
        </w:rPr>
        <w:t xml:space="preserve"> difference between</w:t>
      </w:r>
      <w:r w:rsidR="62890C3D" w:rsidRPr="727BFE15">
        <w:rPr>
          <w:rFonts w:eastAsia="Lato"/>
        </w:rPr>
        <w:t xml:space="preserve"> the total project installed cost and the landlord’s </w:t>
      </w:r>
      <w:r w:rsidR="1802C7EA" w:rsidRPr="727BFE15">
        <w:rPr>
          <w:rFonts w:eastAsia="Lato"/>
        </w:rPr>
        <w:t>co</w:t>
      </w:r>
      <w:r w:rsidR="1421655E" w:rsidRPr="727BFE15">
        <w:rPr>
          <w:rFonts w:eastAsia="Lato"/>
        </w:rPr>
        <w:t>-</w:t>
      </w:r>
      <w:r w:rsidR="1802C7EA" w:rsidRPr="727BFE15">
        <w:rPr>
          <w:rFonts w:eastAsia="Lato"/>
        </w:rPr>
        <w:t>payment</w:t>
      </w:r>
      <w:r w:rsidR="62890C3D">
        <w:t>),</w:t>
      </w:r>
      <w:r w:rsidR="7E0F3E32">
        <w:t xml:space="preserve"> then the </w:t>
      </w:r>
      <w:r w:rsidR="7A15C071">
        <w:t xml:space="preserve">TOB </w:t>
      </w:r>
      <w:r w:rsidR="5D491FEF">
        <w:t>contribution will be capped at the tenant’s share.</w:t>
      </w:r>
    </w:p>
    <w:p w14:paraId="5ECE8328" w14:textId="62199F95" w:rsidR="0019250A" w:rsidRDefault="69DDF919" w:rsidP="004016B6">
      <w:r>
        <w:t>An</w:t>
      </w:r>
      <w:r w:rsidR="313CA21B">
        <w:t>y</w:t>
      </w:r>
      <w:r>
        <w:t xml:space="preserve"> available financial i</w:t>
      </w:r>
      <w:r w:rsidR="00089199">
        <w:t>ncentives shall first be applied to zero out any tenant co</w:t>
      </w:r>
      <w:r w:rsidR="1421655E">
        <w:t>-</w:t>
      </w:r>
      <w:r w:rsidR="00089199">
        <w:t>payment requirement.</w:t>
      </w:r>
      <w:r w:rsidR="1F885DF0">
        <w:t xml:space="preserve"> The remaining balance of incentive funds shall then be applied to</w:t>
      </w:r>
      <w:r w:rsidR="4CB83204">
        <w:t xml:space="preserve"> reduce both the tenant’s contribution (via the Program Service Charge) and the landlord’s contribution (via a co</w:t>
      </w:r>
      <w:r w:rsidR="1421655E">
        <w:t>-</w:t>
      </w:r>
      <w:r w:rsidR="4CB83204">
        <w:t>payment) in equal proportion.</w:t>
      </w:r>
    </w:p>
    <w:p w14:paraId="6F3C38EB" w14:textId="6EA8D552" w:rsidR="00FD0CA3" w:rsidRPr="00DF027F" w:rsidRDefault="1B5AB1B2" w:rsidP="00FD0CA3">
      <w:r>
        <w:t>Following the example of SCE’s BE Ready Home application,</w:t>
      </w:r>
      <w:r w:rsidR="00236F3B">
        <w:rPr>
          <w:rStyle w:val="FootnoteReference"/>
        </w:rPr>
        <w:footnoteReference w:id="40"/>
      </w:r>
      <w:r>
        <w:t xml:space="preserve"> the </w:t>
      </w:r>
      <w:r w:rsidR="19D9C376">
        <w:t>Program</w:t>
      </w:r>
      <w:r>
        <w:t xml:space="preserve"> will incorporate a Split Incentives Agreement similar to what is currently being </w:t>
      </w:r>
      <w:r w:rsidR="0C9A206C">
        <w:t>used</w:t>
      </w:r>
      <w:r>
        <w:t xml:space="preserve"> in the SJV-DAC. The TOB </w:t>
      </w:r>
      <w:r w:rsidR="19D9C376">
        <w:t>Program</w:t>
      </w:r>
      <w:r>
        <w:t xml:space="preserve"> Split Incentive Agreement will require property </w:t>
      </w:r>
      <w:r w:rsidR="0C9A206C">
        <w:t>O</w:t>
      </w:r>
      <w:r>
        <w:t xml:space="preserve">wners to agree to </w:t>
      </w:r>
      <w:r w:rsidR="086E1AD3">
        <w:t>limit evictions to “At Fault Just Cause” as defined by California Tenant Protection Act of 2019 (AB 1482) and avoid Ellis Act evictions for five years</w:t>
      </w:r>
      <w:r w:rsidR="62201909">
        <w:t xml:space="preserve">. The Agreement will also limit </w:t>
      </w:r>
      <w:r>
        <w:t xml:space="preserve">annual rent increases </w:t>
      </w:r>
      <w:r w:rsidR="0C9A206C">
        <w:t xml:space="preserve">to </w:t>
      </w:r>
      <w:r>
        <w:t xml:space="preserve">3.6 percent </w:t>
      </w:r>
      <w:r w:rsidR="62201909">
        <w:t>over five years</w:t>
      </w:r>
      <w:r w:rsidR="0C9A206C">
        <w:t>,</w:t>
      </w:r>
      <w:r w:rsidR="62201909">
        <w:t xml:space="preserve"> </w:t>
      </w:r>
      <w:r>
        <w:t>to protect participating renters from significant rent increases or displacement</w:t>
      </w:r>
      <w:r w:rsidR="0C9A206C">
        <w:t>,</w:t>
      </w:r>
      <w:r>
        <w:t xml:space="preserve"> post-treatment.</w:t>
      </w:r>
      <w:r w:rsidR="3794F66D">
        <w:t xml:space="preserve"> Failure to adhere to</w:t>
      </w:r>
      <w:r w:rsidR="50D11942">
        <w:t xml:space="preserve"> agreement terms will subject the landlord to financial liability for the full TOB investment amount.</w:t>
      </w:r>
      <w:r>
        <w:t xml:space="preserve"> The agreement must be signed by the property owner, tenant, and the Program Operator.</w:t>
      </w:r>
      <w:r w:rsidR="247CCB29">
        <w:t xml:space="preserve"> The Pro</w:t>
      </w:r>
      <w:r w:rsidR="1C4A4DF3">
        <w:t>gram Operator will be tasked with conducting an annual survey of</w:t>
      </w:r>
      <w:r w:rsidR="63C05443">
        <w:t xml:space="preserve"> participating renter-occupied housing to</w:t>
      </w:r>
      <w:r w:rsidR="23CEE502">
        <w:t xml:space="preserve"> confirm compliance.</w:t>
      </w:r>
      <w:r w:rsidR="1C4EFE25">
        <w:t xml:space="preserve"> Survey responsibility may be delegated to a community-based nonprofit with a track record of delivering services to lower income households and</w:t>
      </w:r>
      <w:r w:rsidR="7B59B156">
        <w:t xml:space="preserve"> </w:t>
      </w:r>
      <w:r w:rsidR="1C4EFE25">
        <w:t>/</w:t>
      </w:r>
      <w:r w:rsidR="7B59B156">
        <w:t xml:space="preserve"> </w:t>
      </w:r>
      <w:r w:rsidR="1C4EFE25">
        <w:t>or tenants.</w:t>
      </w:r>
    </w:p>
    <w:p w14:paraId="5CE3B77F" w14:textId="5AD4ADC7" w:rsidR="000345CA" w:rsidRPr="00DB717D" w:rsidRDefault="000B4D61" w:rsidP="000345CA">
      <w:pPr>
        <w:pStyle w:val="Heading3"/>
      </w:pPr>
      <w:r>
        <w:t>Notifications</w:t>
      </w:r>
      <w:r w:rsidR="000345CA" w:rsidRPr="00DB717D">
        <w:t xml:space="preserve"> to Successor Customers</w:t>
      </w:r>
    </w:p>
    <w:p w14:paraId="12187F1C" w14:textId="050FFBBB" w:rsidR="00593C86" w:rsidRPr="00593C86" w:rsidRDefault="7B59B156" w:rsidP="727BFE15">
      <w:pPr>
        <w:rPr>
          <w:i/>
          <w:iCs/>
        </w:rPr>
      </w:pPr>
      <w:r w:rsidRPr="727BFE15">
        <w:rPr>
          <w:i/>
          <w:iCs/>
        </w:rPr>
        <w:t>From the CPUC:</w:t>
      </w:r>
    </w:p>
    <w:p w14:paraId="719EAB00" w14:textId="21F68557" w:rsidR="00593C86" w:rsidRDefault="7B59B156" w:rsidP="727BFE15">
      <w:pPr>
        <w:rPr>
          <w:i/>
          <w:iCs/>
        </w:rPr>
      </w:pPr>
      <w:r w:rsidRPr="727BFE15">
        <w:rPr>
          <w:i/>
          <w:iCs/>
        </w:rPr>
        <w:t>How will the repayment obligation transfer if the participating customer vacates a property they lease or own? How will repayment obligations be communicated to any new tenants or owners?</w:t>
      </w:r>
    </w:p>
    <w:p w14:paraId="46BF583E" w14:textId="3FE6BE1F" w:rsidR="000345CA" w:rsidRDefault="000345CA" w:rsidP="000345CA">
      <w:pPr>
        <w:pStyle w:val="Heading4"/>
      </w:pPr>
      <w:r>
        <w:t xml:space="preserve">Customer Notifications  </w:t>
      </w:r>
    </w:p>
    <w:p w14:paraId="296B53A3" w14:textId="566F1CF0" w:rsidR="007E2D4B" w:rsidRDefault="2D22870B" w:rsidP="009A3C35">
      <w:r>
        <w:t>Because utility tariffs involve no assignment of a debt obligation, they do not impose a legal obligation on one person that then must be transferred to another person. As a result, the tariffed charge</w:t>
      </w:r>
      <w:r w:rsidR="01368F64">
        <w:t xml:space="preserve"> applies automatically to successor </w:t>
      </w:r>
      <w:r w:rsidR="380EF162">
        <w:t>C</w:t>
      </w:r>
      <w:r w:rsidR="01368F64">
        <w:t>ustomers,</w:t>
      </w:r>
      <w:r>
        <w:t xml:space="preserve"> survives foreclosure proceedings, and can be floated through periods of vacancy. </w:t>
      </w:r>
      <w:r w:rsidR="2E70DC88">
        <w:t xml:space="preserve">This feature plays a critical role in the economic opportunity </w:t>
      </w:r>
      <w:r w:rsidR="6705F55E">
        <w:t>of</w:t>
      </w:r>
      <w:r w:rsidR="7CD083F1">
        <w:t xml:space="preserve"> TOB because it enables investments with cost recovery over a term comparable to </w:t>
      </w:r>
      <w:r w:rsidR="6705F55E">
        <w:t xml:space="preserve">the full useful life of the improvements. </w:t>
      </w:r>
      <w:r w:rsidR="4CC4C8B5">
        <w:t xml:space="preserve">If successor </w:t>
      </w:r>
      <w:r w:rsidR="380EF162">
        <w:t>C</w:t>
      </w:r>
      <w:r w:rsidR="4CC4C8B5">
        <w:t xml:space="preserve">ustomers </w:t>
      </w:r>
      <w:r w:rsidR="0E6587F9">
        <w:t xml:space="preserve">are not automatically assigned the </w:t>
      </w:r>
      <w:r w:rsidR="380EF162">
        <w:t>S</w:t>
      </w:r>
      <w:r w:rsidR="0E6587F9">
        <w:t xml:space="preserve">ervice </w:t>
      </w:r>
      <w:r w:rsidR="380EF162">
        <w:t>C</w:t>
      </w:r>
      <w:r w:rsidR="0E6587F9">
        <w:t xml:space="preserve">harge, </w:t>
      </w:r>
      <w:r w:rsidR="559980DB">
        <w:t xml:space="preserve">it raises a question about </w:t>
      </w:r>
      <w:r w:rsidR="7A83DFA0">
        <w:t xml:space="preserve">whether the </w:t>
      </w:r>
      <w:r w:rsidR="380EF162">
        <w:t>C</w:t>
      </w:r>
      <w:r w:rsidR="7A83DFA0">
        <w:t xml:space="preserve">ustomer is obligated to pay the </w:t>
      </w:r>
      <w:r w:rsidR="380EF162">
        <w:t>S</w:t>
      </w:r>
      <w:r w:rsidR="7A83DFA0">
        <w:t xml:space="preserve">ervice </w:t>
      </w:r>
      <w:r w:rsidR="380EF162">
        <w:t>C</w:t>
      </w:r>
      <w:r w:rsidR="7A83DFA0">
        <w:t xml:space="preserve">harge at all, </w:t>
      </w:r>
      <w:r w:rsidR="3EF30824">
        <w:t>which would create new financial risks for capital providers or general ratepayers.</w:t>
      </w:r>
      <w:r w:rsidR="380901C1">
        <w:t xml:space="preserve"> </w:t>
      </w:r>
      <w:r w:rsidR="4BDCCF30">
        <w:t xml:space="preserve"> </w:t>
      </w:r>
      <w:r w:rsidR="4186F790">
        <w:t xml:space="preserve"> </w:t>
      </w:r>
    </w:p>
    <w:p w14:paraId="67FB8481" w14:textId="433506CD" w:rsidR="009A3C35" w:rsidRDefault="4BDCCF30" w:rsidP="009A3C35">
      <w:r>
        <w:t>However, i</w:t>
      </w:r>
      <w:r w:rsidR="2D22870B">
        <w:t xml:space="preserve">t is essential to notify successor </w:t>
      </w:r>
      <w:r w:rsidR="380EF162">
        <w:t>C</w:t>
      </w:r>
      <w:r w:rsidR="2D22870B">
        <w:t>ustomers of their benefits and obligations at an upgraded location to ensure that customers know about the improvements made to the home and to avoid potential misunderstandings.</w:t>
      </w:r>
    </w:p>
    <w:p w14:paraId="35A92056" w14:textId="25980810" w:rsidR="000345CA" w:rsidRDefault="783A326E" w:rsidP="000345CA">
      <w:r>
        <w:t>Prospective building purchasers need to know that the building has been upgraded through a utility program for which cost recovery is still under</w:t>
      </w:r>
      <w:r w:rsidR="380EF162">
        <w:t xml:space="preserve"> </w:t>
      </w:r>
      <w:r>
        <w:t xml:space="preserve">way. When a successor </w:t>
      </w:r>
      <w:r w:rsidR="380EF162">
        <w:t>C</w:t>
      </w:r>
      <w:r>
        <w:t xml:space="preserve">ustomer applies for new service, the </w:t>
      </w:r>
      <w:r w:rsidR="380EF162">
        <w:t>U</w:t>
      </w:r>
      <w:r>
        <w:t xml:space="preserve">tility shall send the new </w:t>
      </w:r>
      <w:r w:rsidR="681A0A9B">
        <w:t>C</w:t>
      </w:r>
      <w:r>
        <w:t xml:space="preserve">ustomer a letter explaining that the property has been improved for resource efficiency, outlining the benefits and obligations of the tariff that applies to the location until the utility’s costs are recovered. The disclosed information shall </w:t>
      </w:r>
      <w:r w:rsidR="681A0A9B">
        <w:t>address</w:t>
      </w:r>
      <w:r>
        <w:t>:</w:t>
      </w:r>
    </w:p>
    <w:p w14:paraId="344A469B" w14:textId="77777777" w:rsidR="000345CA" w:rsidRDefault="000345CA" w:rsidP="006907F8">
      <w:pPr>
        <w:pStyle w:val="ListParagraph"/>
        <w:numPr>
          <w:ilvl w:val="0"/>
          <w:numId w:val="26"/>
        </w:numPr>
        <w:spacing w:before="80" w:line="276" w:lineRule="auto"/>
        <w:rPr>
          <w:rFonts w:eastAsiaTheme="minorEastAsia" w:cstheme="minorBidi"/>
          <w:szCs w:val="22"/>
        </w:rPr>
      </w:pPr>
      <w:r>
        <w:t>Types of upgrades made</w:t>
      </w:r>
    </w:p>
    <w:p w14:paraId="2083671A" w14:textId="77777777" w:rsidR="000345CA" w:rsidRDefault="000345CA" w:rsidP="006907F8">
      <w:pPr>
        <w:pStyle w:val="ListParagraph"/>
        <w:numPr>
          <w:ilvl w:val="0"/>
          <w:numId w:val="26"/>
        </w:numPr>
        <w:spacing w:before="80" w:line="276" w:lineRule="auto"/>
        <w:rPr>
          <w:rFonts w:eastAsiaTheme="minorEastAsia" w:cstheme="minorBidi"/>
          <w:szCs w:val="22"/>
        </w:rPr>
      </w:pPr>
      <w:r>
        <w:t>Upgrade in-service date</w:t>
      </w:r>
    </w:p>
    <w:p w14:paraId="6C170C29" w14:textId="77777777" w:rsidR="000345CA" w:rsidRDefault="000345CA" w:rsidP="006907F8">
      <w:pPr>
        <w:pStyle w:val="ListParagraph"/>
        <w:numPr>
          <w:ilvl w:val="0"/>
          <w:numId w:val="26"/>
        </w:numPr>
        <w:spacing w:before="80" w:line="276" w:lineRule="auto"/>
        <w:rPr>
          <w:rFonts w:eastAsiaTheme="minorEastAsia" w:cstheme="minorBidi"/>
          <w:szCs w:val="22"/>
        </w:rPr>
      </w:pPr>
      <w:r>
        <w:t>Cost of the monthly charge or directions for obtaining cost information from the program sponsor</w:t>
      </w:r>
    </w:p>
    <w:p w14:paraId="4B3A782E" w14:textId="77777777" w:rsidR="000345CA" w:rsidRDefault="000345CA" w:rsidP="006907F8">
      <w:pPr>
        <w:pStyle w:val="ListParagraph"/>
        <w:numPr>
          <w:ilvl w:val="0"/>
          <w:numId w:val="26"/>
        </w:numPr>
        <w:spacing w:before="80" w:line="276" w:lineRule="auto"/>
        <w:rPr>
          <w:rFonts w:eastAsiaTheme="minorEastAsia" w:cstheme="minorBidi"/>
          <w:szCs w:val="22"/>
        </w:rPr>
      </w:pPr>
      <w:r>
        <w:t>Expected date of completion for cost recovery or directions for obtaining cost information from the program sponsor</w:t>
      </w:r>
    </w:p>
    <w:p w14:paraId="668C3BCE" w14:textId="69BF9086" w:rsidR="004C2611" w:rsidRPr="004E488F" w:rsidRDefault="56DEA759" w:rsidP="00DD7568">
      <w:r>
        <w:t>[</w:t>
      </w:r>
      <w:r w:rsidR="1DF2A7BF">
        <w:t xml:space="preserve">Pending confirmation that the </w:t>
      </w:r>
      <w:r w:rsidR="681A0A9B">
        <w:t>C</w:t>
      </w:r>
      <w:r w:rsidR="1DF2A7BF">
        <w:t xml:space="preserve">ustomer billing system will support it, the </w:t>
      </w:r>
      <w:r w:rsidR="681A0A9B">
        <w:t>U</w:t>
      </w:r>
      <w:r w:rsidR="1DF2A7BF">
        <w:t>tility will consider communicating expected utility bill savings on the bill in conjunction with the cost recovery charge.</w:t>
      </w:r>
      <w:r>
        <w:t>]</w:t>
      </w:r>
    </w:p>
    <w:p w14:paraId="23FF2584" w14:textId="0D86C489" w:rsidR="000345CA" w:rsidRDefault="25D86A37" w:rsidP="000345CA">
      <w:r>
        <w:t xml:space="preserve">For upgrades to rental properties, </w:t>
      </w:r>
      <w:r w:rsidR="1C02208A">
        <w:t>landlords</w:t>
      </w:r>
      <w:r>
        <w:t xml:space="preserve"> shall be required to notify prospective tenants that the rental units under consideration have been upgraded for resource efficiency and lower operating costs. This requirement will be established as part of the </w:t>
      </w:r>
      <w:r w:rsidR="1DB47358">
        <w:t>Owner Agreement</w:t>
      </w:r>
      <w:r>
        <w:t xml:space="preserve"> that the property </w:t>
      </w:r>
      <w:r w:rsidR="56DEA759">
        <w:t>O</w:t>
      </w:r>
      <w:r>
        <w:t>wner signs.</w:t>
      </w:r>
    </w:p>
    <w:p w14:paraId="0E4F00F6" w14:textId="77777777" w:rsidR="000345CA" w:rsidRDefault="000345CA" w:rsidP="000345CA">
      <w:r>
        <w:t>If and when future changes in state law permit, the implementing utility will record a Notice of Decarbonization Charge on the property records maintained by the county recorder.</w:t>
      </w:r>
      <w:r w:rsidRPr="225CC3DB">
        <w:rPr>
          <w:rStyle w:val="FootnoteReference"/>
        </w:rPr>
        <w:footnoteReference w:id="41"/>
      </w:r>
      <w:r>
        <w:t xml:space="preserve"> When attached to the property record, the notice would be communicated to a prospective home buyer in the course of a title search. </w:t>
      </w:r>
    </w:p>
    <w:p w14:paraId="54C5A14E" w14:textId="77777777" w:rsidR="000345CA" w:rsidRDefault="000345CA" w:rsidP="000345CA">
      <w:pPr>
        <w:pStyle w:val="Heading4"/>
        <w:rPr>
          <w:rFonts w:asciiTheme="minorHAnsi" w:eastAsiaTheme="minorEastAsia" w:hAnsiTheme="minorHAnsi" w:cstheme="minorBidi"/>
          <w:color w:val="141414" w:themeColor="text1" w:themeShade="80"/>
          <w:sz w:val="22"/>
          <w:szCs w:val="22"/>
        </w:rPr>
      </w:pPr>
      <w:r>
        <w:t>Early Repayment</w:t>
      </w:r>
    </w:p>
    <w:p w14:paraId="3CCA199C" w14:textId="2F163B8A" w:rsidR="000345CA" w:rsidRDefault="25D86A37" w:rsidP="000345CA">
      <w:pPr>
        <w:spacing w:before="240"/>
      </w:pPr>
      <w:r>
        <w:t xml:space="preserve">The </w:t>
      </w:r>
      <w:r w:rsidR="56DEA759">
        <w:t>P</w:t>
      </w:r>
      <w:r>
        <w:t xml:space="preserve">rogram will offer an easy pathway for either the current or the successor </w:t>
      </w:r>
      <w:r w:rsidR="56DEA759">
        <w:t>C</w:t>
      </w:r>
      <w:r>
        <w:t xml:space="preserve">ustomer to make early payment of Program Services Charges as a mechanism for buying out the </w:t>
      </w:r>
      <w:r w:rsidR="56DEA759">
        <w:t>U</w:t>
      </w:r>
      <w:r>
        <w:t>tility’s remaining interest in the investment asset. There will be no penalties or fees associated with early repayment.</w:t>
      </w:r>
    </w:p>
    <w:p w14:paraId="103C6E3A" w14:textId="44C6689A" w:rsidR="00250461" w:rsidRDefault="6E882A9A" w:rsidP="00250461">
      <w:pPr>
        <w:pStyle w:val="Heading3"/>
      </w:pPr>
      <w:r>
        <w:t>Penalties for Nonpayment</w:t>
      </w:r>
    </w:p>
    <w:p w14:paraId="589078A8" w14:textId="0B70161A" w:rsidR="004E488F" w:rsidRPr="004E488F" w:rsidRDefault="56DEA759" w:rsidP="727BFE15">
      <w:pPr>
        <w:rPr>
          <w:i/>
          <w:iCs/>
        </w:rPr>
      </w:pPr>
      <w:r w:rsidRPr="727BFE15">
        <w:rPr>
          <w:i/>
          <w:iCs/>
        </w:rPr>
        <w:t>From the CPUC:</w:t>
      </w:r>
    </w:p>
    <w:p w14:paraId="0CCB1037" w14:textId="575DAEB0" w:rsidR="004E488F" w:rsidRDefault="56DEA759" w:rsidP="727BFE15">
      <w:pPr>
        <w:rPr>
          <w:i/>
          <w:iCs/>
        </w:rPr>
      </w:pPr>
      <w:r w:rsidRPr="727BFE15">
        <w:rPr>
          <w:i/>
          <w:iCs/>
        </w:rPr>
        <w:t>Describe any penalties that may be imposed if the Customer does not repay the loan (such as credit reporting, asset forfeiture, utility disconnection).</w:t>
      </w:r>
    </w:p>
    <w:p w14:paraId="40037818" w14:textId="77777777" w:rsidR="003B7BE4" w:rsidRPr="004E488F" w:rsidRDefault="003B7BE4" w:rsidP="727BFE15">
      <w:pPr>
        <w:rPr>
          <w:i/>
          <w:iCs/>
        </w:rPr>
      </w:pPr>
    </w:p>
    <w:p w14:paraId="3D6EE8B8" w14:textId="485B2B39" w:rsidR="00666415" w:rsidRDefault="7451CD01" w:rsidP="727BFE15">
      <w:pPr>
        <w:rPr>
          <w:rFonts w:eastAsia="Lato"/>
        </w:rPr>
      </w:pPr>
      <w:r w:rsidRPr="727BFE15">
        <w:rPr>
          <w:rFonts w:eastAsia="Lato"/>
        </w:rPr>
        <w:t xml:space="preserve">Foreclosure on a </w:t>
      </w:r>
      <w:r w:rsidR="56DEA759" w:rsidRPr="727BFE15">
        <w:rPr>
          <w:rFonts w:eastAsia="Lato"/>
        </w:rPr>
        <w:t>C</w:t>
      </w:r>
      <w:r w:rsidRPr="727BFE15">
        <w:rPr>
          <w:rFonts w:eastAsia="Lato"/>
        </w:rPr>
        <w:t xml:space="preserve">ustomer’s home </w:t>
      </w:r>
      <w:r w:rsidR="65192863" w:rsidRPr="727BFE15">
        <w:rPr>
          <w:rFonts w:eastAsia="Lato"/>
        </w:rPr>
        <w:t>and</w:t>
      </w:r>
      <w:r w:rsidRPr="727BFE15">
        <w:rPr>
          <w:rFonts w:eastAsia="Lato"/>
        </w:rPr>
        <w:t xml:space="preserve"> repossession of the investment asset are both prohibited within the TOB </w:t>
      </w:r>
      <w:r w:rsidR="56DEA759" w:rsidRPr="727BFE15">
        <w:rPr>
          <w:rFonts w:eastAsia="Lato"/>
        </w:rPr>
        <w:t>P</w:t>
      </w:r>
      <w:r w:rsidRPr="727BFE15">
        <w:rPr>
          <w:rFonts w:eastAsia="Lato"/>
        </w:rPr>
        <w:t xml:space="preserve">rogram. The threat of disconnection of an essential service, albeit in accordance with a CPUC and State policy, is the only protection against non-payment and it is the same security used to assure cost recovery for regular utility services. The TOB </w:t>
      </w:r>
      <w:r w:rsidR="3104465E" w:rsidRPr="727BFE15">
        <w:rPr>
          <w:rFonts w:eastAsia="Lato"/>
        </w:rPr>
        <w:t>Program Service Charge</w:t>
      </w:r>
      <w:r w:rsidRPr="727BFE15">
        <w:rPr>
          <w:rFonts w:eastAsia="Lato"/>
        </w:rPr>
        <w:t xml:space="preserve"> is a</w:t>
      </w:r>
      <w:r w:rsidR="56DEA759" w:rsidRPr="727BFE15">
        <w:rPr>
          <w:rFonts w:eastAsia="Lato"/>
        </w:rPr>
        <w:t xml:space="preserve"> U</w:t>
      </w:r>
      <w:r w:rsidRPr="727BFE15">
        <w:rPr>
          <w:rFonts w:eastAsia="Lato"/>
        </w:rPr>
        <w:t xml:space="preserve">tility </w:t>
      </w:r>
      <w:r w:rsidR="56DEA759" w:rsidRPr="727BFE15">
        <w:rPr>
          <w:rFonts w:eastAsia="Lato"/>
        </w:rPr>
        <w:t>s</w:t>
      </w:r>
      <w:r w:rsidRPr="727BFE15">
        <w:rPr>
          <w:rFonts w:eastAsia="Lato"/>
        </w:rPr>
        <w:t xml:space="preserve">ervice </w:t>
      </w:r>
      <w:r w:rsidR="56DEA759" w:rsidRPr="727BFE15">
        <w:rPr>
          <w:rFonts w:eastAsia="Lato"/>
        </w:rPr>
        <w:t>c</w:t>
      </w:r>
      <w:r w:rsidRPr="727BFE15">
        <w:rPr>
          <w:rFonts w:eastAsia="Lato"/>
        </w:rPr>
        <w:t>harge</w:t>
      </w:r>
      <w:r w:rsidR="0D79369D" w:rsidRPr="727BFE15">
        <w:rPr>
          <w:rFonts w:eastAsia="Lato"/>
        </w:rPr>
        <w:t xml:space="preserve"> for essential services</w:t>
      </w:r>
      <w:r w:rsidRPr="727BFE15">
        <w:rPr>
          <w:rFonts w:eastAsia="Lato"/>
        </w:rPr>
        <w:t xml:space="preserve">, and thus, existing </w:t>
      </w:r>
      <w:r w:rsidR="56DEA759" w:rsidRPr="727BFE15">
        <w:rPr>
          <w:rFonts w:eastAsia="Lato"/>
        </w:rPr>
        <w:t>C</w:t>
      </w:r>
      <w:r w:rsidR="40AC4003" w:rsidRPr="727BFE15">
        <w:rPr>
          <w:rFonts w:eastAsia="Lato"/>
        </w:rPr>
        <w:t>ustomer protection</w:t>
      </w:r>
      <w:r w:rsidRPr="727BFE15">
        <w:rPr>
          <w:rFonts w:eastAsia="Lato"/>
        </w:rPr>
        <w:t xml:space="preserve">s relating to disconnections for nonpayment apply equally to the TOB tariff as to the rest of the </w:t>
      </w:r>
      <w:r w:rsidR="56DEA759" w:rsidRPr="727BFE15">
        <w:rPr>
          <w:rFonts w:eastAsia="Lato"/>
        </w:rPr>
        <w:t>C</w:t>
      </w:r>
      <w:r w:rsidRPr="727BFE15">
        <w:rPr>
          <w:rFonts w:eastAsia="Lato"/>
        </w:rPr>
        <w:t xml:space="preserve">ustomer’s regular </w:t>
      </w:r>
      <w:r w:rsidR="56DEA759" w:rsidRPr="727BFE15">
        <w:rPr>
          <w:rFonts w:eastAsia="Lato"/>
        </w:rPr>
        <w:t>U</w:t>
      </w:r>
      <w:r w:rsidRPr="727BFE15">
        <w:rPr>
          <w:rFonts w:eastAsia="Lato"/>
        </w:rPr>
        <w:t>tility bill. To the extent that CPUC policies limit or prohibit disconnections for nonpayment as a collections method, such protections would apply equally to the TOB tariff.</w:t>
      </w:r>
      <w:r w:rsidR="0D79369D" w:rsidRPr="727BFE15">
        <w:rPr>
          <w:rFonts w:eastAsia="Lato"/>
        </w:rPr>
        <w:t xml:space="preserve"> Because the TOB investment</w:t>
      </w:r>
      <w:r w:rsidR="6A69FDBC" w:rsidRPr="727BFE15">
        <w:rPr>
          <w:rFonts w:eastAsia="Lato"/>
        </w:rPr>
        <w:t xml:space="preserve"> is structured to reduce </w:t>
      </w:r>
      <w:r w:rsidR="56DEA759" w:rsidRPr="727BFE15">
        <w:rPr>
          <w:rFonts w:eastAsia="Lato"/>
        </w:rPr>
        <w:t>C</w:t>
      </w:r>
      <w:r w:rsidR="6A69FDBC" w:rsidRPr="727BFE15">
        <w:rPr>
          <w:rFonts w:eastAsia="Lato"/>
        </w:rPr>
        <w:t xml:space="preserve">ustomer energy burdens, it therefore reduces the </w:t>
      </w:r>
      <w:r w:rsidR="56DEA759" w:rsidRPr="727BFE15">
        <w:rPr>
          <w:rFonts w:eastAsia="Lato"/>
        </w:rPr>
        <w:t>C</w:t>
      </w:r>
      <w:r w:rsidR="6A69FDBC" w:rsidRPr="727BFE15">
        <w:rPr>
          <w:rFonts w:eastAsia="Lato"/>
        </w:rPr>
        <w:t xml:space="preserve">ustomer’s risk of </w:t>
      </w:r>
      <w:r w:rsidR="56DEA759" w:rsidRPr="727BFE15">
        <w:rPr>
          <w:rFonts w:eastAsia="Lato"/>
        </w:rPr>
        <w:t>U</w:t>
      </w:r>
      <w:r w:rsidR="6A69FDBC" w:rsidRPr="727BFE15">
        <w:rPr>
          <w:rFonts w:eastAsia="Lato"/>
        </w:rPr>
        <w:t>tility disconnection.</w:t>
      </w:r>
    </w:p>
    <w:p w14:paraId="1751A73E" w14:textId="58248ECB" w:rsidR="005A325F" w:rsidRDefault="4D5312AE" w:rsidP="005A325F">
      <w:pPr>
        <w:pStyle w:val="Heading3"/>
      </w:pPr>
      <w:r>
        <w:t>Customer Compliance Obligations</w:t>
      </w:r>
    </w:p>
    <w:p w14:paraId="36E841AF" w14:textId="6D299B58" w:rsidR="004E488F" w:rsidRPr="004E488F" w:rsidRDefault="56DEA759" w:rsidP="727BFE15">
      <w:pPr>
        <w:rPr>
          <w:i/>
          <w:iCs/>
        </w:rPr>
      </w:pPr>
      <w:r w:rsidRPr="727BFE15">
        <w:rPr>
          <w:i/>
          <w:iCs/>
        </w:rPr>
        <w:t>From the CPUC:</w:t>
      </w:r>
    </w:p>
    <w:p w14:paraId="135A7629" w14:textId="77777777" w:rsidR="004E488F" w:rsidRPr="004E488F" w:rsidRDefault="56DEA759" w:rsidP="727BFE15">
      <w:pPr>
        <w:rPr>
          <w:i/>
          <w:iCs/>
        </w:rPr>
      </w:pPr>
      <w:r w:rsidRPr="727BFE15">
        <w:rPr>
          <w:i/>
          <w:iCs/>
        </w:rPr>
        <w:t>Describe any non-financial terms and conditions customers must satisfy to stay in compliance with the program.</w:t>
      </w:r>
    </w:p>
    <w:p w14:paraId="1F9B4AC6" w14:textId="387861A7" w:rsidR="00177843" w:rsidRDefault="3077672B" w:rsidP="727BFE15">
      <w:r>
        <w:t>Customers are responsible for the proper operations and maintenance of installed equipment.</w:t>
      </w:r>
      <w:r w:rsidR="29843281">
        <w:t xml:space="preserve"> Their participation in the annual maintenance program</w:t>
      </w:r>
      <w:r w:rsidR="38464D92">
        <w:t>, combined with the no-fault repair guarantee, assists them in fulfilling this compliance obligation.</w:t>
      </w:r>
      <w:r>
        <w:t xml:space="preserve"> The following terms are </w:t>
      </w:r>
      <w:r w:rsidR="24B63356">
        <w:t xml:space="preserve">contained </w:t>
      </w:r>
      <w:r>
        <w:t xml:space="preserve">in the </w:t>
      </w:r>
      <w:r w:rsidR="56DEA759">
        <w:t>C</w:t>
      </w:r>
      <w:r>
        <w:t>ustomer participation agreement for regular maintenance and care:</w:t>
      </w:r>
    </w:p>
    <w:p w14:paraId="239040F5" w14:textId="32A98D05" w:rsidR="00177843" w:rsidRDefault="3077672B" w:rsidP="006907F8">
      <w:pPr>
        <w:pStyle w:val="ListParagraph"/>
        <w:numPr>
          <w:ilvl w:val="0"/>
          <w:numId w:val="23"/>
        </w:numPr>
      </w:pPr>
      <w:r>
        <w:t xml:space="preserve">Assignment to </w:t>
      </w:r>
      <w:r w:rsidR="24B63356">
        <w:t>C</w:t>
      </w:r>
      <w:r>
        <w:t>ustomer of financial liability for damaging or removing installed improvements</w:t>
      </w:r>
    </w:p>
    <w:p w14:paraId="7018C53A" w14:textId="3BEEE6CD" w:rsidR="00177843" w:rsidRDefault="3077672B" w:rsidP="006907F8">
      <w:pPr>
        <w:pStyle w:val="ListParagraph"/>
        <w:numPr>
          <w:ilvl w:val="0"/>
          <w:numId w:val="23"/>
        </w:numPr>
      </w:pPr>
      <w:r>
        <w:t xml:space="preserve">Requirements to notify the TOB </w:t>
      </w:r>
      <w:r w:rsidR="24B63356">
        <w:t>P</w:t>
      </w:r>
      <w:r>
        <w:t xml:space="preserve">rogram </w:t>
      </w:r>
      <w:r w:rsidR="007C5838">
        <w:t xml:space="preserve">Sponsor </w:t>
      </w:r>
      <w:r>
        <w:t>of non-functioning products</w:t>
      </w:r>
    </w:p>
    <w:p w14:paraId="637FF73F" w14:textId="62C2ACE6" w:rsidR="005E38E3" w:rsidRPr="005948B0" w:rsidRDefault="005948B0" w:rsidP="005948B0">
      <w:pPr>
        <w:pStyle w:val="Heading3"/>
      </w:pPr>
      <w:r w:rsidRPr="005948B0">
        <w:t>Customer Screening and Informed Customer Consent</w:t>
      </w:r>
    </w:p>
    <w:p w14:paraId="0E79CBC8" w14:textId="77777777" w:rsidR="0020482B" w:rsidRDefault="24B63356" w:rsidP="727BFE15">
      <w:pPr>
        <w:rPr>
          <w:i/>
          <w:iCs/>
        </w:rPr>
      </w:pPr>
      <w:r w:rsidRPr="727BFE15">
        <w:rPr>
          <w:i/>
          <w:iCs/>
        </w:rPr>
        <w:t>From the CPUC:</w:t>
      </w:r>
    </w:p>
    <w:p w14:paraId="6A75118F" w14:textId="7DAA6F39" w:rsidR="0020482B" w:rsidRPr="0020482B" w:rsidRDefault="24B63356" w:rsidP="727BFE15">
      <w:pPr>
        <w:rPr>
          <w:i/>
          <w:iCs/>
        </w:rPr>
      </w:pPr>
      <w:r w:rsidRPr="727BFE15">
        <w:rPr>
          <w:i/>
          <w:iCs/>
        </w:rPr>
        <w:t>What processes will be included to ensure that customers understand and can shoulder the full financial burden of participating in this proposed financing program?</w:t>
      </w:r>
    </w:p>
    <w:p w14:paraId="21D3051F" w14:textId="46DDA3BF" w:rsidR="001B655C" w:rsidRDefault="60716C62" w:rsidP="00022AB9">
      <w:r>
        <w:t xml:space="preserve">The Tariffed On-Bill </w:t>
      </w:r>
      <w:r w:rsidR="24B63356">
        <w:t>P</w:t>
      </w:r>
      <w:r>
        <w:t>rogram model is a shared</w:t>
      </w:r>
      <w:r w:rsidR="24B63356">
        <w:t>-</w:t>
      </w:r>
      <w:r>
        <w:t>savings approach that</w:t>
      </w:r>
      <w:r w:rsidR="7D93C353">
        <w:t xml:space="preserve"> reduces </w:t>
      </w:r>
      <w:r w:rsidR="24B63356">
        <w:t>C</w:t>
      </w:r>
      <w:r w:rsidR="7D93C353">
        <w:t>ustomers’ future energy burdens</w:t>
      </w:r>
      <w:r w:rsidR="24B63356">
        <w:t>,</w:t>
      </w:r>
      <w:r w:rsidR="7D93C353">
        <w:t xml:space="preserve"> rather than increase them. For this reason, means testing</w:t>
      </w:r>
      <w:r w:rsidR="5A2B1244">
        <w:t xml:space="preserve"> to screen </w:t>
      </w:r>
      <w:r w:rsidR="24B63356">
        <w:t>C</w:t>
      </w:r>
      <w:r w:rsidR="5A2B1244">
        <w:t xml:space="preserve">ustomers for eligibility is unnecessary. </w:t>
      </w:r>
    </w:p>
    <w:p w14:paraId="7F1FCD66" w14:textId="2A11AC8A" w:rsidR="00077793" w:rsidRDefault="79269410" w:rsidP="00022AB9">
      <w:r>
        <w:t xml:space="preserve">Although personal credit history is not a factor in </w:t>
      </w:r>
      <w:r w:rsidR="24B63356">
        <w:t>P</w:t>
      </w:r>
      <w:r>
        <w:t xml:space="preserve">rogram eligibility, </w:t>
      </w:r>
      <w:r w:rsidR="4D3D3FE4">
        <w:t xml:space="preserve">the </w:t>
      </w:r>
      <w:r w:rsidR="19D9C376">
        <w:t>Program</w:t>
      </w:r>
      <w:r w:rsidR="4D3D3FE4">
        <w:t xml:space="preserve"> will</w:t>
      </w:r>
      <w:r>
        <w:t xml:space="preserve"> use bill payment history as an indicator that an account is in good standing</w:t>
      </w:r>
      <w:r w:rsidR="24B63356">
        <w:t>,</w:t>
      </w:r>
      <w:r>
        <w:t xml:space="preserve"> before capitalizing upgrades at that site. </w:t>
      </w:r>
      <w:r w:rsidR="292E1078">
        <w:t xml:space="preserve">In short, a </w:t>
      </w:r>
      <w:r w:rsidR="24B63356">
        <w:t>C</w:t>
      </w:r>
      <w:r w:rsidR="292E1078">
        <w:t>ustomer’s</w:t>
      </w:r>
      <w:r w:rsidR="186E62C4">
        <w:t xml:space="preserve"> track record of paying past utility bills will be taken as sufficient evidence that the </w:t>
      </w:r>
      <w:r w:rsidR="24B63356">
        <w:t>C</w:t>
      </w:r>
      <w:r w:rsidR="186E62C4">
        <w:t>ustomer can afford lower</w:t>
      </w:r>
      <w:r w:rsidR="7564F83A">
        <w:t xml:space="preserve"> bills in the future.</w:t>
      </w:r>
    </w:p>
    <w:p w14:paraId="1A236DC0" w14:textId="5CEA3851" w:rsidR="00506964" w:rsidRPr="001C3616" w:rsidRDefault="24B63356" w:rsidP="00022AB9">
      <w:r>
        <w:t xml:space="preserve">Although </w:t>
      </w:r>
      <w:r w:rsidR="7DB781E7">
        <w:t xml:space="preserve">the TOB </w:t>
      </w:r>
      <w:r>
        <w:t>i</w:t>
      </w:r>
      <w:r w:rsidR="7DB781E7">
        <w:t>nvestment model does not require financial means testing,</w:t>
      </w:r>
      <w:r w:rsidR="13B80884">
        <w:t xml:space="preserve"> it does necessitate careful </w:t>
      </w:r>
      <w:r>
        <w:t>C</w:t>
      </w:r>
      <w:r w:rsidR="13B80884">
        <w:t>ustomer screening to identify those with the greatest prospects for meaningful bill savings</w:t>
      </w:r>
      <w:r w:rsidR="7C2D5424">
        <w:t xml:space="preserve"> attributable to Program investments. This screening process necessitates advance access to </w:t>
      </w:r>
      <w:r>
        <w:t>C</w:t>
      </w:r>
      <w:r w:rsidR="4A5BD810">
        <w:t>ustomer-specific energy consumption data from both gas and electric meters.</w:t>
      </w:r>
    </w:p>
    <w:p w14:paraId="166E3743" w14:textId="26722CA3" w:rsidR="00DB717D" w:rsidRPr="00DB717D" w:rsidRDefault="3AF7219B" w:rsidP="00DB717D">
      <w:pPr>
        <w:pStyle w:val="Heading3"/>
      </w:pPr>
      <w:r>
        <w:t xml:space="preserve">Customer </w:t>
      </w:r>
      <w:r w:rsidR="00DB717D">
        <w:t>Outreach</w:t>
      </w:r>
    </w:p>
    <w:p w14:paraId="3EA5BA35" w14:textId="57190FC0" w:rsidR="00412428" w:rsidRPr="00412428" w:rsidRDefault="007C5838" w:rsidP="727BFE15">
      <w:pPr>
        <w:rPr>
          <w:rFonts w:ascii="Palatino Linotype" w:eastAsia="Palatino Linotype" w:hAnsi="Palatino Linotype"/>
          <w:i/>
          <w:iCs/>
          <w:color w:val="141414"/>
        </w:rPr>
      </w:pPr>
      <w:r>
        <w:rPr>
          <w:rFonts w:ascii="Palatino Linotype" w:eastAsia="Palatino Linotype" w:hAnsi="Palatino Linotype"/>
          <w:i/>
          <w:iCs/>
          <w:color w:val="141414"/>
        </w:rPr>
        <w:t>Fr</w:t>
      </w:r>
      <w:r w:rsidR="4E460D7A" w:rsidRPr="727BFE15">
        <w:rPr>
          <w:rFonts w:ascii="Palatino Linotype" w:eastAsia="Palatino Linotype" w:hAnsi="Palatino Linotype"/>
          <w:i/>
          <w:iCs/>
          <w:color w:val="141414"/>
        </w:rPr>
        <w:t>om the CPUC:</w:t>
      </w:r>
    </w:p>
    <w:p w14:paraId="1A58BBE2" w14:textId="77777777" w:rsidR="00412428" w:rsidRPr="007C5838" w:rsidRDefault="4E460D7A" w:rsidP="00A17426">
      <w:pPr>
        <w:pStyle w:val="CommentText"/>
      </w:pPr>
      <w:r w:rsidRPr="007C5838">
        <w:t xml:space="preserve">Describe the customer outreach component of the program. Will community-based organizations or groups support and facilitate customer outreach to ensure all participating customers are appropriately made aware of their obligations, and if so, how? </w:t>
      </w:r>
    </w:p>
    <w:p w14:paraId="20792BF4" w14:textId="5A44AA02" w:rsidR="00412428" w:rsidRPr="00412428" w:rsidRDefault="4E460D7A" w:rsidP="727BFE15">
      <w:pPr>
        <w:rPr>
          <w:rFonts w:ascii="Palatino Linotype" w:eastAsia="Palatino Linotype" w:hAnsi="Palatino Linotype"/>
          <w:i/>
          <w:iCs/>
          <w:color w:val="141414"/>
        </w:rPr>
      </w:pPr>
      <w:r w:rsidRPr="727BFE15">
        <w:rPr>
          <w:rFonts w:ascii="Palatino Linotype" w:eastAsia="Palatino Linotype" w:hAnsi="Palatino Linotype"/>
          <w:i/>
          <w:iCs/>
          <w:color w:val="141414"/>
        </w:rPr>
        <w:t>From TECH Clean California</w:t>
      </w:r>
      <w:r w:rsidR="7D6470E2" w:rsidRPr="727BFE15">
        <w:rPr>
          <w:rFonts w:ascii="Palatino Linotype" w:eastAsia="Palatino Linotype" w:hAnsi="Palatino Linotype"/>
          <w:i/>
          <w:iCs/>
          <w:color w:val="141414"/>
        </w:rPr>
        <w:t>:</w:t>
      </w:r>
    </w:p>
    <w:p w14:paraId="35FA9C26" w14:textId="540D6FAD" w:rsidR="00F5529E" w:rsidRPr="00412428" w:rsidRDefault="4EB4D624" w:rsidP="727BFE15">
      <w:pPr>
        <w:rPr>
          <w:rFonts w:ascii="Palatino Linotype" w:eastAsia="Palatino Linotype" w:hAnsi="Palatino Linotype"/>
          <w:i/>
          <w:iCs/>
          <w:color w:val="141414"/>
        </w:rPr>
      </w:pPr>
      <w:r w:rsidRPr="727BFE15">
        <w:rPr>
          <w:rFonts w:ascii="Palatino Linotype" w:eastAsia="Palatino Linotype" w:hAnsi="Palatino Linotype"/>
          <w:i/>
          <w:iCs/>
          <w:color w:val="141414"/>
        </w:rPr>
        <w:t xml:space="preserve">Program Sponsor to lead development of </w:t>
      </w:r>
      <w:r w:rsidR="4E460D7A" w:rsidRPr="727BFE15">
        <w:rPr>
          <w:rFonts w:ascii="Palatino Linotype" w:eastAsia="Palatino Linotype" w:hAnsi="Palatino Linotype"/>
          <w:i/>
          <w:iCs/>
          <w:color w:val="141414"/>
        </w:rPr>
        <w:t>C</w:t>
      </w:r>
      <w:r w:rsidRPr="727BFE15">
        <w:rPr>
          <w:rFonts w:ascii="Palatino Linotype" w:eastAsia="Palatino Linotype" w:hAnsi="Palatino Linotype"/>
          <w:i/>
          <w:iCs/>
          <w:color w:val="141414"/>
        </w:rPr>
        <w:t>ustomer outreach plan</w:t>
      </w:r>
    </w:p>
    <w:p w14:paraId="42F11040" w14:textId="73D99F68" w:rsidR="00A74DC7" w:rsidRDefault="4E460D7A" w:rsidP="6A5D419A">
      <w:pPr>
        <w:rPr>
          <w:rFonts w:ascii="Palatino Linotype" w:eastAsia="Palatino Linotype" w:hAnsi="Palatino Linotype"/>
          <w:color w:val="141414"/>
        </w:rPr>
      </w:pPr>
      <w:r w:rsidRPr="727BFE15">
        <w:rPr>
          <w:rFonts w:ascii="Palatino Linotype" w:eastAsia="Palatino Linotype" w:hAnsi="Palatino Linotype"/>
          <w:color w:val="141414"/>
        </w:rPr>
        <w:t xml:space="preserve">Although </w:t>
      </w:r>
      <w:r w:rsidR="49EF5858" w:rsidRPr="727BFE15">
        <w:rPr>
          <w:rFonts w:ascii="Palatino Linotype" w:eastAsia="Palatino Linotype" w:hAnsi="Palatino Linotype"/>
          <w:color w:val="141414"/>
        </w:rPr>
        <w:t xml:space="preserve">financial means testing is unnecessary for determining </w:t>
      </w:r>
      <w:r w:rsidR="7D6470E2" w:rsidRPr="727BFE15">
        <w:rPr>
          <w:rFonts w:ascii="Palatino Linotype" w:eastAsia="Palatino Linotype" w:hAnsi="Palatino Linotype"/>
          <w:color w:val="141414"/>
        </w:rPr>
        <w:t>C</w:t>
      </w:r>
      <w:r w:rsidR="49EF5858" w:rsidRPr="727BFE15">
        <w:rPr>
          <w:rFonts w:ascii="Palatino Linotype" w:eastAsia="Palatino Linotype" w:hAnsi="Palatino Linotype"/>
          <w:color w:val="141414"/>
        </w:rPr>
        <w:t xml:space="preserve">ustomer eligibility, the </w:t>
      </w:r>
      <w:r w:rsidR="53977921" w:rsidRPr="727BFE15">
        <w:rPr>
          <w:rFonts w:ascii="Palatino Linotype" w:eastAsia="Palatino Linotype" w:hAnsi="Palatino Linotype"/>
          <w:color w:val="141414"/>
        </w:rPr>
        <w:t>Program</w:t>
      </w:r>
      <w:r w:rsidR="49EF5858" w:rsidRPr="727BFE15">
        <w:rPr>
          <w:rFonts w:ascii="Palatino Linotype" w:eastAsia="Palatino Linotype" w:hAnsi="Palatino Linotype"/>
          <w:color w:val="141414"/>
        </w:rPr>
        <w:t xml:space="preserve"> will nevertheless</w:t>
      </w:r>
      <w:r w:rsidR="1DFED60D" w:rsidRPr="727BFE15">
        <w:rPr>
          <w:rFonts w:ascii="Palatino Linotype" w:eastAsia="Palatino Linotype" w:hAnsi="Palatino Linotype"/>
          <w:color w:val="141414"/>
        </w:rPr>
        <w:t xml:space="preserve"> adopt proxies for financial means in determining who</w:t>
      </w:r>
      <w:r w:rsidR="7D6470E2" w:rsidRPr="727BFE15">
        <w:rPr>
          <w:rFonts w:ascii="Palatino Linotype" w:eastAsia="Palatino Linotype" w:hAnsi="Palatino Linotype"/>
          <w:color w:val="141414"/>
        </w:rPr>
        <w:t>m</w:t>
      </w:r>
      <w:r w:rsidR="1DFED60D" w:rsidRPr="727BFE15">
        <w:rPr>
          <w:rFonts w:ascii="Palatino Linotype" w:eastAsia="Palatino Linotype" w:hAnsi="Palatino Linotype"/>
          <w:color w:val="141414"/>
        </w:rPr>
        <w:t xml:space="preserve"> to</w:t>
      </w:r>
      <w:r w:rsidR="3B8A5FEE" w:rsidRPr="727BFE15">
        <w:rPr>
          <w:rFonts w:ascii="Palatino Linotype" w:eastAsia="Palatino Linotype" w:hAnsi="Palatino Linotype"/>
          <w:color w:val="141414"/>
        </w:rPr>
        <w:t xml:space="preserve"> target for marketing and outreach.</w:t>
      </w:r>
    </w:p>
    <w:p w14:paraId="0FB2435A" w14:textId="77777777" w:rsidR="003D601F" w:rsidRDefault="7D6470E2" w:rsidP="727BFE15">
      <w:pPr>
        <w:rPr>
          <w:rFonts w:ascii="Palatino Linotype" w:eastAsia="Palatino Linotype" w:hAnsi="Palatino Linotype"/>
          <w:i/>
          <w:iCs/>
          <w:color w:val="141414"/>
        </w:rPr>
      </w:pPr>
      <w:r w:rsidRPr="727BFE15">
        <w:rPr>
          <w:rFonts w:ascii="Palatino Linotype" w:eastAsia="Palatino Linotype" w:hAnsi="Palatino Linotype"/>
          <w:i/>
          <w:iCs/>
          <w:color w:val="141414"/>
        </w:rPr>
        <w:t>From TECH Clean California:</w:t>
      </w:r>
    </w:p>
    <w:p w14:paraId="4BD94BB8" w14:textId="482BEC94" w:rsidR="0070398E" w:rsidRPr="003D601F" w:rsidRDefault="51037375" w:rsidP="727BFE15">
      <w:pPr>
        <w:rPr>
          <w:rFonts w:ascii="Palatino Linotype" w:eastAsia="Palatino Linotype" w:hAnsi="Palatino Linotype"/>
          <w:i/>
          <w:iCs/>
          <w:color w:val="141414"/>
        </w:rPr>
      </w:pPr>
      <w:r w:rsidRPr="727BFE15">
        <w:rPr>
          <w:rFonts w:ascii="Palatino Linotype" w:eastAsia="Palatino Linotype" w:hAnsi="Palatino Linotype"/>
          <w:i/>
          <w:iCs/>
          <w:color w:val="141414"/>
        </w:rPr>
        <w:t xml:space="preserve">Describe target </w:t>
      </w:r>
      <w:r w:rsidR="7D6470E2" w:rsidRPr="727BFE15">
        <w:rPr>
          <w:rFonts w:ascii="Palatino Linotype" w:eastAsia="Palatino Linotype" w:hAnsi="Palatino Linotype"/>
          <w:i/>
          <w:iCs/>
          <w:color w:val="141414"/>
        </w:rPr>
        <w:t>C</w:t>
      </w:r>
      <w:r w:rsidRPr="727BFE15">
        <w:rPr>
          <w:rFonts w:ascii="Palatino Linotype" w:eastAsia="Palatino Linotype" w:hAnsi="Palatino Linotype"/>
          <w:i/>
          <w:iCs/>
          <w:color w:val="141414"/>
        </w:rPr>
        <w:t>ustomer segments</w:t>
      </w:r>
      <w:r w:rsidR="657EC805" w:rsidRPr="727BFE15">
        <w:rPr>
          <w:rFonts w:ascii="Palatino Linotype" w:eastAsia="Palatino Linotype" w:hAnsi="Palatino Linotype"/>
          <w:i/>
          <w:iCs/>
          <w:color w:val="141414"/>
        </w:rPr>
        <w:t xml:space="preserve"> to </w:t>
      </w:r>
      <w:r w:rsidR="7D6470E2" w:rsidRPr="727BFE15">
        <w:rPr>
          <w:rFonts w:ascii="Palatino Linotype" w:eastAsia="Palatino Linotype" w:hAnsi="Palatino Linotype"/>
          <w:i/>
          <w:iCs/>
          <w:color w:val="141414"/>
        </w:rPr>
        <w:t xml:space="preserve">include </w:t>
      </w:r>
      <w:r w:rsidR="657EC805" w:rsidRPr="727BFE15">
        <w:rPr>
          <w:rFonts w:ascii="Palatino Linotype" w:eastAsia="Palatino Linotype" w:hAnsi="Palatino Linotype"/>
          <w:i/>
          <w:iCs/>
          <w:color w:val="141414"/>
        </w:rPr>
        <w:t>and exclude</w:t>
      </w:r>
    </w:p>
    <w:p w14:paraId="5BA1B752" w14:textId="442357B1" w:rsidR="00FD5B06" w:rsidRPr="003D601F" w:rsidRDefault="7D6470E2" w:rsidP="727BFE15">
      <w:pPr>
        <w:rPr>
          <w:rFonts w:ascii="Palatino Linotype" w:eastAsia="Palatino Linotype" w:hAnsi="Palatino Linotype"/>
          <w:i/>
          <w:iCs/>
          <w:color w:val="141414"/>
        </w:rPr>
      </w:pPr>
      <w:r w:rsidRPr="727BFE15">
        <w:rPr>
          <w:rFonts w:ascii="Palatino Linotype" w:eastAsia="Palatino Linotype" w:hAnsi="Palatino Linotype"/>
          <w:i/>
          <w:iCs/>
          <w:color w:val="141414"/>
        </w:rPr>
        <w:t>Describe c</w:t>
      </w:r>
      <w:r w:rsidR="657EC805" w:rsidRPr="727BFE15">
        <w:rPr>
          <w:rFonts w:ascii="Palatino Linotype" w:eastAsia="Palatino Linotype" w:hAnsi="Palatino Linotype"/>
          <w:i/>
          <w:iCs/>
          <w:color w:val="141414"/>
        </w:rPr>
        <w:t xml:space="preserve">ommunication channels, role of trusted </w:t>
      </w:r>
      <w:r w:rsidRPr="727BFE15">
        <w:rPr>
          <w:rFonts w:ascii="Palatino Linotype" w:eastAsia="Palatino Linotype" w:hAnsi="Palatino Linotype"/>
          <w:i/>
          <w:iCs/>
          <w:color w:val="141414"/>
        </w:rPr>
        <w:t>community-based organizations</w:t>
      </w:r>
    </w:p>
    <w:p w14:paraId="59A8E18C" w14:textId="77777777" w:rsidR="00022AB9" w:rsidRDefault="00022AB9" w:rsidP="00022AB9"/>
    <w:p w14:paraId="3EE1949F" w14:textId="6165B68A" w:rsidR="00022AB9" w:rsidRDefault="00022AB9" w:rsidP="002D7C9B">
      <w:pPr>
        <w:pStyle w:val="Heading1"/>
      </w:pPr>
      <w:bookmarkStart w:id="35" w:name="_Toc98921605"/>
      <w:r>
        <w:t xml:space="preserve">PART III: Program </w:t>
      </w:r>
      <w:r w:rsidR="002D7C9B">
        <w:t>D</w:t>
      </w:r>
      <w:r>
        <w:t xml:space="preserve">esign and </w:t>
      </w:r>
      <w:r w:rsidR="002D7C9B">
        <w:t>D</w:t>
      </w:r>
      <w:r>
        <w:t xml:space="preserve">elivery </w:t>
      </w:r>
      <w:r w:rsidR="002D7C9B">
        <w:t>D</w:t>
      </w:r>
      <w:r>
        <w:t>etails</w:t>
      </w:r>
      <w:bookmarkEnd w:id="35"/>
    </w:p>
    <w:p w14:paraId="0544B88C" w14:textId="5999CD57" w:rsidR="00442786" w:rsidRDefault="005844C6" w:rsidP="005844C6">
      <w:pPr>
        <w:pStyle w:val="Heading2"/>
      </w:pPr>
      <w:bookmarkStart w:id="36" w:name="_Toc98921606"/>
      <w:r>
        <w:t>Targeted Customer Sectors</w:t>
      </w:r>
      <w:bookmarkEnd w:id="36"/>
    </w:p>
    <w:p w14:paraId="24DD8C93" w14:textId="77777777" w:rsidR="003D601F" w:rsidRPr="003D601F" w:rsidRDefault="7D6470E2" w:rsidP="727BFE15">
      <w:pPr>
        <w:rPr>
          <w:i/>
          <w:iCs/>
        </w:rPr>
      </w:pPr>
      <w:r w:rsidRPr="727BFE15">
        <w:rPr>
          <w:i/>
          <w:iCs/>
        </w:rPr>
        <w:t>From the CPUC:</w:t>
      </w:r>
    </w:p>
    <w:p w14:paraId="4EF79515" w14:textId="5AE52C33" w:rsidR="003D601F" w:rsidRPr="003D601F" w:rsidRDefault="7D6470E2" w:rsidP="727BFE15">
      <w:pPr>
        <w:rPr>
          <w:i/>
          <w:iCs/>
        </w:rPr>
      </w:pPr>
      <w:r w:rsidRPr="727BFE15">
        <w:rPr>
          <w:i/>
          <w:iCs/>
        </w:rPr>
        <w:t>What sector(s) will this program target (i.e., residential (Single Family/Multifamily), commercial, industrial, agricultural, public, disadvantaged, and hard-to-reach)?</w:t>
      </w:r>
    </w:p>
    <w:p w14:paraId="5687D134" w14:textId="62F94504" w:rsidR="00113822" w:rsidRDefault="51723C1F" w:rsidP="31B89B5B">
      <w:r>
        <w:t xml:space="preserve">Single-family </w:t>
      </w:r>
      <w:r w:rsidR="3209AF7B">
        <w:t xml:space="preserve">and multifamily </w:t>
      </w:r>
      <w:r w:rsidR="7D6470E2">
        <w:t>C</w:t>
      </w:r>
      <w:r>
        <w:t>ustomers</w:t>
      </w:r>
      <w:r w:rsidR="7A71F157">
        <w:t>,</w:t>
      </w:r>
      <w:r w:rsidR="559B0DB3">
        <w:t xml:space="preserve"> both </w:t>
      </w:r>
      <w:r w:rsidR="7D6470E2">
        <w:t>O</w:t>
      </w:r>
      <w:r w:rsidR="14B190FA">
        <w:t>wner-occupied</w:t>
      </w:r>
      <w:r w:rsidR="559B0DB3">
        <w:t xml:space="preserve"> and </w:t>
      </w:r>
      <w:r w:rsidR="14B190FA">
        <w:t>tenant-occupied,</w:t>
      </w:r>
      <w:r w:rsidR="7A71F157">
        <w:t xml:space="preserve"> </w:t>
      </w:r>
      <w:r w:rsidR="40752392">
        <w:t xml:space="preserve">will include </w:t>
      </w:r>
      <w:r w:rsidR="7A71F157">
        <w:t xml:space="preserve">disadvantaged </w:t>
      </w:r>
      <w:r w:rsidR="12512FAD">
        <w:t>communities</w:t>
      </w:r>
      <w:r w:rsidR="7A71F157">
        <w:t>.</w:t>
      </w:r>
      <w:r w:rsidR="6082D290">
        <w:t xml:space="preserve"> For purposes of this plan, </w:t>
      </w:r>
      <w:r w:rsidR="5CFDFFBC" w:rsidRPr="727BFE15">
        <w:rPr>
          <w:i/>
          <w:iCs/>
        </w:rPr>
        <w:t>disadvantaged</w:t>
      </w:r>
      <w:r w:rsidR="19959A5B" w:rsidRPr="727BFE15">
        <w:rPr>
          <w:i/>
          <w:iCs/>
        </w:rPr>
        <w:t xml:space="preserve"> communities</w:t>
      </w:r>
      <w:r w:rsidR="0A23B16F">
        <w:t xml:space="preserve"> </w:t>
      </w:r>
      <w:r w:rsidR="40752392">
        <w:t xml:space="preserve">are </w:t>
      </w:r>
      <w:r w:rsidR="383CFFB6">
        <w:t>defined as</w:t>
      </w:r>
      <w:r w:rsidR="3261A3D7">
        <w:t xml:space="preserve"> (a)</w:t>
      </w:r>
      <w:r w:rsidR="383CFFB6">
        <w:t xml:space="preserve"> </w:t>
      </w:r>
      <w:r w:rsidR="40752392">
        <w:t>U.S. C</w:t>
      </w:r>
      <w:r w:rsidR="383CFFB6">
        <w:t xml:space="preserve">ensus tracts that score in the top 25 percent of </w:t>
      </w:r>
      <w:r w:rsidR="0A23B16F">
        <w:t xml:space="preserve">CalEnviroScreen </w:t>
      </w:r>
      <w:r w:rsidR="1729455A">
        <w:t>4</w:t>
      </w:r>
      <w:r w:rsidR="0A23B16F">
        <w:t>.0</w:t>
      </w:r>
      <w:r w:rsidR="155D2C6D">
        <w:t xml:space="preserve">; or (b) </w:t>
      </w:r>
      <w:r w:rsidR="40752392">
        <w:t>C</w:t>
      </w:r>
      <w:r w:rsidR="155D2C6D">
        <w:t xml:space="preserve">ensus tracts in which aggregated household incomes are less than 80 percent of </w:t>
      </w:r>
      <w:r w:rsidR="40752392">
        <w:t>A</w:t>
      </w:r>
      <w:r w:rsidR="155D2C6D">
        <w:t xml:space="preserve">rea or </w:t>
      </w:r>
      <w:r w:rsidR="40752392">
        <w:t>S</w:t>
      </w:r>
      <w:r w:rsidR="155D2C6D">
        <w:t xml:space="preserve">tate </w:t>
      </w:r>
      <w:r w:rsidR="40752392">
        <w:t>M</w:t>
      </w:r>
      <w:r w:rsidR="155D2C6D">
        <w:t xml:space="preserve">edian </w:t>
      </w:r>
      <w:r w:rsidR="40752392">
        <w:t>I</w:t>
      </w:r>
      <w:r w:rsidR="155D2C6D">
        <w:t>ncome</w:t>
      </w:r>
      <w:r w:rsidR="0A23B16F">
        <w:t>.</w:t>
      </w:r>
      <w:r w:rsidR="4BD0721A">
        <w:t xml:space="preserve"> </w:t>
      </w:r>
    </w:p>
    <w:p w14:paraId="2C7BDBB7" w14:textId="2F7265D2" w:rsidR="00734D0A" w:rsidRDefault="35DC595C" w:rsidP="31B89B5B">
      <w:pPr>
        <w:rPr>
          <w:highlight w:val="yellow"/>
        </w:rPr>
      </w:pPr>
      <w:r>
        <w:t xml:space="preserve">The </w:t>
      </w:r>
      <w:r w:rsidR="53977921">
        <w:t>Program</w:t>
      </w:r>
      <w:r>
        <w:t xml:space="preserve"> will</w:t>
      </w:r>
      <w:r w:rsidR="4831137B">
        <w:t xml:space="preserve"> initially</w:t>
      </w:r>
      <w:r>
        <w:t xml:space="preserve"> avoid </w:t>
      </w:r>
      <w:r w:rsidR="5AE44CDC">
        <w:t xml:space="preserve">proactively </w:t>
      </w:r>
      <w:r>
        <w:t xml:space="preserve">marketing its services to </w:t>
      </w:r>
      <w:r w:rsidR="40752392">
        <w:t>C</w:t>
      </w:r>
      <w:r>
        <w:t>ustomers who</w:t>
      </w:r>
      <w:r w:rsidR="10ED952A">
        <w:t xml:space="preserve"> are enrolled in CARE</w:t>
      </w:r>
      <w:r w:rsidR="40752392">
        <w:t>,</w:t>
      </w:r>
      <w:r w:rsidR="4831137B">
        <w:t xml:space="preserve"> until Program systems have been field</w:t>
      </w:r>
      <w:r w:rsidR="494CEB49">
        <w:t>-</w:t>
      </w:r>
      <w:r w:rsidR="4831137B">
        <w:t xml:space="preserve">tested and the Program can be confident </w:t>
      </w:r>
      <w:r w:rsidR="494CEB49">
        <w:t xml:space="preserve">in </w:t>
      </w:r>
      <w:r w:rsidR="4831137B">
        <w:t>making</w:t>
      </w:r>
      <w:r w:rsidR="3C78A8AF">
        <w:t xml:space="preserve"> offers that are truly </w:t>
      </w:r>
      <w:r w:rsidR="69B37B5C">
        <w:t xml:space="preserve">at </w:t>
      </w:r>
      <w:r w:rsidR="3C78A8AF">
        <w:t>no risk to the customer</w:t>
      </w:r>
      <w:r w:rsidR="10ED952A">
        <w:t>.</w:t>
      </w:r>
      <w:r w:rsidR="526222E9">
        <w:t xml:space="preserve"> Nevertheless, the </w:t>
      </w:r>
      <w:r w:rsidR="53977921">
        <w:t>Program</w:t>
      </w:r>
      <w:r w:rsidR="526222E9">
        <w:t xml:space="preserve"> does not include a financial means test for </w:t>
      </w:r>
      <w:r w:rsidR="69B37B5C">
        <w:t>C</w:t>
      </w:r>
      <w:r w:rsidR="526222E9">
        <w:t xml:space="preserve">ustomer eligibility and CARE customers </w:t>
      </w:r>
      <w:r w:rsidR="69B37B5C">
        <w:t xml:space="preserve">might ask </w:t>
      </w:r>
      <w:r w:rsidR="526222E9">
        <w:t xml:space="preserve">to participate. In those instances, the </w:t>
      </w:r>
      <w:r w:rsidR="53977921">
        <w:t>Program</w:t>
      </w:r>
      <w:r w:rsidR="526222E9">
        <w:t xml:space="preserve"> will first seek to assist the </w:t>
      </w:r>
      <w:r w:rsidR="69B37B5C">
        <w:t>C</w:t>
      </w:r>
      <w:r w:rsidR="526222E9">
        <w:t>ustomer in</w:t>
      </w:r>
      <w:r w:rsidR="374EB0E4">
        <w:t xml:space="preserve"> addressing home upgrade needs via direct install</w:t>
      </w:r>
      <w:r w:rsidR="69B37B5C">
        <w:t>ation</w:t>
      </w:r>
      <w:r w:rsidR="374EB0E4">
        <w:t xml:space="preserve"> and related grant-only</w:t>
      </w:r>
      <w:r w:rsidR="538DDC01">
        <w:t xml:space="preserve"> programs and consider a TOB investment </w:t>
      </w:r>
      <w:r w:rsidR="69B37B5C">
        <w:t xml:space="preserve">only </w:t>
      </w:r>
      <w:r w:rsidR="538DDC01">
        <w:t>if and when other resources have been exhausted.</w:t>
      </w:r>
    </w:p>
    <w:p w14:paraId="5B92D57A" w14:textId="1C46A0E4" w:rsidR="00003472" w:rsidRDefault="66C9C9AC" w:rsidP="00003472">
      <w:pPr>
        <w:pStyle w:val="Heading2"/>
      </w:pPr>
      <w:bookmarkStart w:id="37" w:name="_Toc98921607"/>
      <w:r>
        <w:t>Customer Eligibility</w:t>
      </w:r>
      <w:bookmarkEnd w:id="37"/>
    </w:p>
    <w:p w14:paraId="6DE6A9B4" w14:textId="467A3157" w:rsidR="00652EC3" w:rsidRPr="00AF20B7" w:rsidRDefault="69B37B5C" w:rsidP="727BFE15">
      <w:pPr>
        <w:ind w:left="360" w:hanging="360"/>
        <w:rPr>
          <w:i/>
          <w:iCs/>
        </w:rPr>
      </w:pPr>
      <w:r w:rsidRPr="727BFE15">
        <w:rPr>
          <w:i/>
          <w:iCs/>
        </w:rPr>
        <w:t>From the CPUC:</w:t>
      </w:r>
      <w:r w:rsidR="00652EC3">
        <w:br/>
      </w:r>
      <w:r w:rsidR="66DE4084" w:rsidRPr="727BFE15">
        <w:rPr>
          <w:i/>
          <w:iCs/>
        </w:rPr>
        <w:t>1.</w:t>
      </w:r>
      <w:r w:rsidR="00652EC3">
        <w:tab/>
      </w:r>
      <w:r w:rsidRPr="727BFE15">
        <w:rPr>
          <w:i/>
          <w:iCs/>
        </w:rPr>
        <w:t>How does the program propose to determine customer eligibility?</w:t>
      </w:r>
    </w:p>
    <w:p w14:paraId="450949B0" w14:textId="77777777" w:rsidR="00652EC3" w:rsidRPr="00652EC3" w:rsidRDefault="69B37B5C" w:rsidP="727BFE15">
      <w:pPr>
        <w:ind w:left="1080" w:hanging="360"/>
        <w:rPr>
          <w:i/>
          <w:iCs/>
        </w:rPr>
      </w:pPr>
      <w:r w:rsidRPr="727BFE15">
        <w:rPr>
          <w:i/>
          <w:iCs/>
        </w:rPr>
        <w:t>a.</w:t>
      </w:r>
      <w:r w:rsidR="00652EC3">
        <w:tab/>
      </w:r>
      <w:r w:rsidRPr="727BFE15">
        <w:rPr>
          <w:i/>
          <w:iCs/>
        </w:rPr>
        <w:t>What are the credit score ranges used to determine customer eligibility?</w:t>
      </w:r>
    </w:p>
    <w:p w14:paraId="105CC2FA" w14:textId="77777777" w:rsidR="00652EC3" w:rsidRPr="00652EC3" w:rsidRDefault="69B37B5C" w:rsidP="727BFE15">
      <w:pPr>
        <w:ind w:left="1080" w:hanging="360"/>
        <w:rPr>
          <w:i/>
          <w:iCs/>
        </w:rPr>
      </w:pPr>
      <w:r w:rsidRPr="727BFE15">
        <w:rPr>
          <w:i/>
          <w:iCs/>
        </w:rPr>
        <w:t>b.</w:t>
      </w:r>
      <w:r w:rsidR="00652EC3">
        <w:tab/>
      </w:r>
      <w:r w:rsidRPr="727BFE15">
        <w:rPr>
          <w:i/>
          <w:iCs/>
        </w:rPr>
        <w:t>What criteria in addition to or in lieu of credit scores will be used to determine eligibility (such as bill payment history)?</w:t>
      </w:r>
    </w:p>
    <w:p w14:paraId="51B0A2B9" w14:textId="77777777" w:rsidR="00652EC3" w:rsidRPr="00652EC3" w:rsidRDefault="69B37B5C" w:rsidP="727BFE15">
      <w:pPr>
        <w:ind w:left="1080" w:hanging="360"/>
        <w:rPr>
          <w:i/>
          <w:iCs/>
        </w:rPr>
      </w:pPr>
      <w:r w:rsidRPr="727BFE15">
        <w:rPr>
          <w:i/>
          <w:iCs/>
        </w:rPr>
        <w:t>c.</w:t>
      </w:r>
      <w:r w:rsidR="00652EC3">
        <w:tab/>
      </w:r>
      <w:r w:rsidRPr="727BFE15">
        <w:rPr>
          <w:i/>
          <w:iCs/>
        </w:rPr>
        <w:t>How will the program measure ability to repay loans?</w:t>
      </w:r>
    </w:p>
    <w:p w14:paraId="005F6C00" w14:textId="77777777" w:rsidR="00652EC3" w:rsidRPr="00652EC3" w:rsidRDefault="69B37B5C" w:rsidP="727BFE15">
      <w:pPr>
        <w:ind w:left="1440" w:hanging="360"/>
        <w:rPr>
          <w:i/>
          <w:iCs/>
        </w:rPr>
      </w:pPr>
      <w:r w:rsidRPr="727BFE15">
        <w:rPr>
          <w:i/>
          <w:iCs/>
        </w:rPr>
        <w:t>i.</w:t>
      </w:r>
      <w:r w:rsidR="00652EC3">
        <w:tab/>
      </w:r>
      <w:r w:rsidRPr="727BFE15">
        <w:rPr>
          <w:i/>
          <w:iCs/>
        </w:rPr>
        <w:t>What are the debt-to-income ratios used to determine customer eligibility?</w:t>
      </w:r>
    </w:p>
    <w:p w14:paraId="67BEF8D7" w14:textId="77777777" w:rsidR="00652EC3" w:rsidRPr="00652EC3" w:rsidRDefault="69B37B5C" w:rsidP="727BFE15">
      <w:pPr>
        <w:ind w:left="1440" w:hanging="360"/>
        <w:rPr>
          <w:i/>
          <w:iCs/>
        </w:rPr>
      </w:pPr>
      <w:r w:rsidRPr="727BFE15">
        <w:rPr>
          <w:i/>
          <w:iCs/>
        </w:rPr>
        <w:t>ii.</w:t>
      </w:r>
      <w:r w:rsidR="00652EC3">
        <w:tab/>
      </w:r>
      <w:r w:rsidRPr="727BFE15">
        <w:rPr>
          <w:i/>
          <w:iCs/>
        </w:rPr>
        <w:t>What are the estimated customer energy savings (IOU and Non-IOU) used to determine customer eligibility?</w:t>
      </w:r>
    </w:p>
    <w:p w14:paraId="245D3CD4" w14:textId="77777777" w:rsidR="00652EC3" w:rsidRPr="00652EC3" w:rsidRDefault="69B37B5C" w:rsidP="727BFE15">
      <w:pPr>
        <w:ind w:left="1440" w:hanging="360"/>
        <w:rPr>
          <w:i/>
          <w:iCs/>
        </w:rPr>
      </w:pPr>
      <w:r w:rsidRPr="727BFE15">
        <w:rPr>
          <w:i/>
          <w:iCs/>
        </w:rPr>
        <w:t>iii.</w:t>
      </w:r>
      <w:r w:rsidR="00652EC3">
        <w:tab/>
      </w:r>
      <w:r w:rsidRPr="727BFE15">
        <w:rPr>
          <w:i/>
          <w:iCs/>
        </w:rPr>
        <w:t>How will energy savings be calculated and tracked? (IOU and non-IOU fuels).</w:t>
      </w:r>
    </w:p>
    <w:p w14:paraId="27F36862" w14:textId="77777777" w:rsidR="00652EC3" w:rsidRPr="00652EC3" w:rsidRDefault="69B37B5C" w:rsidP="727BFE15">
      <w:pPr>
        <w:ind w:left="720" w:hanging="360"/>
        <w:rPr>
          <w:i/>
          <w:iCs/>
        </w:rPr>
      </w:pPr>
      <w:r w:rsidRPr="727BFE15">
        <w:rPr>
          <w:i/>
          <w:iCs/>
        </w:rPr>
        <w:t>2.</w:t>
      </w:r>
      <w:r w:rsidR="00652EC3">
        <w:tab/>
      </w:r>
      <w:r w:rsidRPr="727BFE15">
        <w:rPr>
          <w:i/>
          <w:iCs/>
        </w:rPr>
        <w:t>How are the criteria described in Question 1 of this section prioritized to determine customer eligibility?</w:t>
      </w:r>
    </w:p>
    <w:p w14:paraId="35BC16B2" w14:textId="3FF84980" w:rsidR="00652EC3" w:rsidRPr="00652EC3" w:rsidRDefault="00652EC3" w:rsidP="727BFE15"/>
    <w:p w14:paraId="528D85CF" w14:textId="13AD91BE" w:rsidR="002B7B3C" w:rsidRDefault="092423ED" w:rsidP="002B7B3C">
      <w:r>
        <w:t>The</w:t>
      </w:r>
      <w:r w:rsidR="66DE4084">
        <w:t xml:space="preserve"> TOB P</w:t>
      </w:r>
      <w:r>
        <w:t xml:space="preserve">rogram is open to all </w:t>
      </w:r>
      <w:r w:rsidR="66DE4084">
        <w:t>C</w:t>
      </w:r>
      <w:r>
        <w:t>ustomers</w:t>
      </w:r>
      <w:r w:rsidR="66DE4084">
        <w:t>,</w:t>
      </w:r>
      <w:r>
        <w:t xml:space="preserve"> regardless of</w:t>
      </w:r>
      <w:r w:rsidR="7B5A4B59">
        <w:t xml:space="preserve"> debt,</w:t>
      </w:r>
      <w:r>
        <w:t xml:space="preserve"> income, credit score</w:t>
      </w:r>
      <w:r w:rsidR="1C99551C">
        <w:t>,</w:t>
      </w:r>
      <w:r>
        <w:t xml:space="preserve"> or renter status. </w:t>
      </w:r>
      <w:r w:rsidR="05F2B2D2">
        <w:t>As</w:t>
      </w:r>
      <w:r w:rsidR="4D8D6A51">
        <w:t xml:space="preserve"> enumerated in the proposed tariff, e</w:t>
      </w:r>
      <w:r>
        <w:t xml:space="preserve">ligibility requirements for program participation </w:t>
      </w:r>
      <w:r w:rsidR="66DE4084">
        <w:t>involve</w:t>
      </w:r>
      <w:r>
        <w:t xml:space="preserve">: </w:t>
      </w:r>
    </w:p>
    <w:p w14:paraId="1636D245" w14:textId="6BA5731A" w:rsidR="00434EA9" w:rsidRDefault="4D8D6A51" w:rsidP="00FF62ED">
      <w:pPr>
        <w:pStyle w:val="ListParagraph"/>
        <w:numPr>
          <w:ilvl w:val="0"/>
          <w:numId w:val="54"/>
        </w:numPr>
      </w:pPr>
      <w:r>
        <w:t>Single</w:t>
      </w:r>
      <w:r w:rsidR="66DE4084">
        <w:t>-</w:t>
      </w:r>
      <w:r>
        <w:t xml:space="preserve">family and multifamily residential </w:t>
      </w:r>
      <w:r w:rsidR="66DE4084">
        <w:t>C</w:t>
      </w:r>
      <w:r>
        <w:t xml:space="preserve">ustomers receiving electric service at a </w:t>
      </w:r>
      <w:r w:rsidR="66DE4084">
        <w:t>p</w:t>
      </w:r>
      <w:r>
        <w:t>remise</w:t>
      </w:r>
      <w:r w:rsidR="66DE4084">
        <w:t>,</w:t>
      </w:r>
      <w:r>
        <w:t xml:space="preserve"> with a meter served by the participating partner </w:t>
      </w:r>
      <w:r w:rsidR="66DE4084">
        <w:t>U</w:t>
      </w:r>
      <w:r>
        <w:t>tility</w:t>
      </w:r>
    </w:p>
    <w:p w14:paraId="502D4DDF" w14:textId="4D435B0F" w:rsidR="00434EA9" w:rsidRDefault="4D8D6A51" w:rsidP="00FF62ED">
      <w:pPr>
        <w:pStyle w:val="ListParagraph"/>
        <w:numPr>
          <w:ilvl w:val="0"/>
          <w:numId w:val="54"/>
        </w:numPr>
      </w:pPr>
      <w:r>
        <w:t>Customers in rented or leased single</w:t>
      </w:r>
      <w:r w:rsidR="66DE4084">
        <w:t>-</w:t>
      </w:r>
      <w:r>
        <w:t>housing units</w:t>
      </w:r>
      <w:r w:rsidR="49F8EFFA">
        <w:t xml:space="preserve">, </w:t>
      </w:r>
      <w:r>
        <w:t>participat</w:t>
      </w:r>
      <w:r w:rsidR="49F8EFFA">
        <w:t>ing</w:t>
      </w:r>
      <w:r>
        <w:t xml:space="preserve"> with the written consent of the property </w:t>
      </w:r>
      <w:r w:rsidR="66DE4084">
        <w:t>O</w:t>
      </w:r>
      <w:r>
        <w:t>wner</w:t>
      </w:r>
    </w:p>
    <w:p w14:paraId="751155AD" w14:textId="4B7BD348" w:rsidR="00434EA9" w:rsidRDefault="4D8D6A51" w:rsidP="00FF62ED">
      <w:pPr>
        <w:pStyle w:val="ListParagraph"/>
        <w:numPr>
          <w:ilvl w:val="0"/>
          <w:numId w:val="54"/>
        </w:numPr>
      </w:pPr>
      <w:r>
        <w:t>Customer</w:t>
      </w:r>
      <w:r w:rsidR="49F8EFFA">
        <w:t xml:space="preserve">s </w:t>
      </w:r>
      <w:r>
        <w:t xml:space="preserve">in good payment standing from when the </w:t>
      </w:r>
      <w:r w:rsidR="49F8EFFA">
        <w:t>C</w:t>
      </w:r>
      <w:r>
        <w:t xml:space="preserve">ustomer’s </w:t>
      </w:r>
      <w:r w:rsidR="49F8EFFA">
        <w:t>P</w:t>
      </w:r>
      <w:r>
        <w:t xml:space="preserve">rogram application is approved through the funding of the investment. A Customer’s payment standing will be determined according to a Payment History Screening, which may be based upon the existence of any 24-hour disconnection notices in the last 12 months. If the Customer does not pass the payment screening, </w:t>
      </w:r>
      <w:r w:rsidR="49F8EFFA">
        <w:t xml:space="preserve">the Customer may submit </w:t>
      </w:r>
      <w:r>
        <w:t xml:space="preserve">an appeal to the </w:t>
      </w:r>
      <w:r w:rsidR="49F8EFFA">
        <w:t>P</w:t>
      </w:r>
      <w:r>
        <w:t xml:space="preserve">rogram through a </w:t>
      </w:r>
      <w:r w:rsidR="49F8EFFA">
        <w:t>U</w:t>
      </w:r>
      <w:r>
        <w:t>tility Account Representative.</w:t>
      </w:r>
    </w:p>
    <w:p w14:paraId="3B438010" w14:textId="42B26875" w:rsidR="00EC2E64" w:rsidRDefault="30049A4B" w:rsidP="0015025E">
      <w:pPr>
        <w:pStyle w:val="NormalWeb"/>
      </w:pPr>
      <w:r>
        <w:t xml:space="preserve">Outbound outreach efforts will seek to identify </w:t>
      </w:r>
      <w:r w:rsidR="035C5DBB">
        <w:t>C</w:t>
      </w:r>
      <w:r>
        <w:t>ustomer</w:t>
      </w:r>
      <w:r w:rsidR="6A82202D">
        <w:t>s</w:t>
      </w:r>
      <w:r>
        <w:t xml:space="preserve"> who (a)</w:t>
      </w:r>
      <w:r w:rsidR="4025B54B">
        <w:t xml:space="preserve"> experience high energy bills</w:t>
      </w:r>
      <w:r w:rsidR="63C2DD47">
        <w:t>; and (b) have equipment nearing the end of its useful life</w:t>
      </w:r>
      <w:r w:rsidR="57A81F0D">
        <w:t>.</w:t>
      </w:r>
      <w:r w:rsidR="2C69EC2F" w:rsidRPr="727BFE15">
        <w:rPr>
          <w:b/>
          <w:bCs/>
        </w:rPr>
        <w:t xml:space="preserve"> </w:t>
      </w:r>
      <w:r w:rsidR="2C69EC2F">
        <w:t xml:space="preserve">Customers with higher energy use will be targeted for participation in the </w:t>
      </w:r>
      <w:r w:rsidR="035C5DBB">
        <w:t>P</w:t>
      </w:r>
      <w:r w:rsidR="2C69EC2F">
        <w:t>rogram</w:t>
      </w:r>
      <w:r w:rsidR="035C5DBB">
        <w:t>,</w:t>
      </w:r>
      <w:r w:rsidR="2C69EC2F">
        <w:t xml:space="preserve"> </w:t>
      </w:r>
      <w:r w:rsidR="035C5DBB">
        <w:t xml:space="preserve">assuming </w:t>
      </w:r>
      <w:r w:rsidR="2C69EC2F">
        <w:t xml:space="preserve">the likelihood of better economic return for that </w:t>
      </w:r>
      <w:r w:rsidR="035C5DBB">
        <w:t>C</w:t>
      </w:r>
      <w:r w:rsidR="2C69EC2F">
        <w:t>ustomer’s project.</w:t>
      </w:r>
      <w:r w:rsidR="4874F7A3">
        <w:t xml:space="preserve"> The </w:t>
      </w:r>
      <w:r w:rsidR="035C5DBB">
        <w:t>P</w:t>
      </w:r>
      <w:r w:rsidR="4874F7A3">
        <w:t xml:space="preserve">rogram will </w:t>
      </w:r>
      <w:r w:rsidR="6CF07AAF">
        <w:t xml:space="preserve">target </w:t>
      </w:r>
      <w:r w:rsidR="035C5DBB">
        <w:t>[</w:t>
      </w:r>
      <w:r w:rsidR="6CF07AAF">
        <w:t>the top 2</w:t>
      </w:r>
      <w:r w:rsidR="4D8D6A51">
        <w:t>0</w:t>
      </w:r>
      <w:r w:rsidR="6CF07AAF">
        <w:t xml:space="preserve"> percent</w:t>
      </w:r>
      <w:r w:rsidR="035C5DBB">
        <w:t>]</w:t>
      </w:r>
      <w:r w:rsidR="6CF07AAF">
        <w:t xml:space="preserve"> of eligible high energy users.</w:t>
      </w:r>
      <w:r w:rsidR="2C69EC2F">
        <w:t xml:space="preserve"> High energy loads for water heating, space heating, and space cooling are likely to deliver the best potential economics for a TOB project.</w:t>
      </w:r>
      <w:r w:rsidR="0ABAC6FE">
        <w:t xml:space="preserve"> Equipment that is nearing the end of its useful life offers attractive planned replacement opportunities</w:t>
      </w:r>
      <w:r w:rsidR="6A82202D">
        <w:t>.</w:t>
      </w:r>
    </w:p>
    <w:p w14:paraId="7CADDE6F" w14:textId="2BB23417" w:rsidR="00ED7FB2" w:rsidRDefault="035C5DBB" w:rsidP="0015025E">
      <w:pPr>
        <w:pStyle w:val="NormalWeb"/>
      </w:pPr>
      <w:r>
        <w:t>The Program will calculate and track e</w:t>
      </w:r>
      <w:r w:rsidR="3FA42406">
        <w:t xml:space="preserve">nergy savings </w:t>
      </w:r>
      <w:r w:rsidR="35FA75CF">
        <w:t xml:space="preserve">via CalTRACK hourly methods with a control group, in keeping with CPUC-approved </w:t>
      </w:r>
      <w:r w:rsidR="1F0117AA">
        <w:t xml:space="preserve">normalized metered energy consumption (NMEC) </w:t>
      </w:r>
      <w:r w:rsidR="35FA75CF">
        <w:t>protocols.</w:t>
      </w:r>
    </w:p>
    <w:p w14:paraId="227EA937" w14:textId="7E14E19A" w:rsidR="002B7B3C" w:rsidRPr="005571D0" w:rsidRDefault="1F0117AA" w:rsidP="002B7B3C">
      <w:r>
        <w:t>[</w:t>
      </w:r>
      <w:r w:rsidR="092423ED">
        <w:t>Additional eligibility requirements</w:t>
      </w:r>
      <w:r>
        <w:t xml:space="preserve"> </w:t>
      </w:r>
      <w:r w:rsidR="092423ED">
        <w:t>/</w:t>
      </w:r>
      <w:r>
        <w:t xml:space="preserve"> </w:t>
      </w:r>
      <w:r w:rsidR="092423ED">
        <w:t>criteria to consider:</w:t>
      </w:r>
      <w:r w:rsidR="3B9DA367">
        <w:t>]</w:t>
      </w:r>
      <w:r w:rsidR="092423ED">
        <w:t xml:space="preserve"> </w:t>
      </w:r>
    </w:p>
    <w:p w14:paraId="702E7912" w14:textId="0A2DA3C5" w:rsidR="002B7B3C" w:rsidRDefault="092423ED" w:rsidP="006907F8">
      <w:pPr>
        <w:pStyle w:val="ListParagraph"/>
        <w:numPr>
          <w:ilvl w:val="0"/>
          <w:numId w:val="24"/>
        </w:numPr>
        <w:spacing w:before="80" w:line="276" w:lineRule="auto"/>
      </w:pPr>
      <w:r w:rsidRPr="727BFE15">
        <w:rPr>
          <w:b/>
          <w:bCs/>
        </w:rPr>
        <w:t xml:space="preserve">Multifamily </w:t>
      </w:r>
      <w:r w:rsidR="3B9DA367" w:rsidRPr="727BFE15">
        <w:rPr>
          <w:b/>
          <w:bCs/>
        </w:rPr>
        <w:t>C</w:t>
      </w:r>
      <w:r w:rsidRPr="727BFE15">
        <w:rPr>
          <w:b/>
          <w:bCs/>
        </w:rPr>
        <w:t xml:space="preserve">ustomers: </w:t>
      </w:r>
      <w:r>
        <w:t xml:space="preserve">Multifamily eligibility in properties with </w:t>
      </w:r>
      <w:r w:rsidR="3B9DA367">
        <w:t>m</w:t>
      </w:r>
      <w:r>
        <w:t>aster</w:t>
      </w:r>
      <w:r w:rsidR="3B9DA367">
        <w:t>-m</w:t>
      </w:r>
      <w:r>
        <w:t xml:space="preserve">etered </w:t>
      </w:r>
      <w:r w:rsidR="3B9DA367">
        <w:t>e</w:t>
      </w:r>
      <w:r>
        <w:t xml:space="preserve">lectric </w:t>
      </w:r>
      <w:r w:rsidR="3B9DA367">
        <w:t>s</w:t>
      </w:r>
      <w:r>
        <w:t>ervice could be considered with a building agreement signed by the building</w:t>
      </w:r>
      <w:r w:rsidR="3B9DA367">
        <w:t xml:space="preserve"> O</w:t>
      </w:r>
      <w:r>
        <w:t xml:space="preserve">wner and </w:t>
      </w:r>
      <w:r w:rsidR="3B9DA367">
        <w:t>Cu</w:t>
      </w:r>
      <w:r>
        <w:t xml:space="preserve">stomer at the master meter. Multifamily eligibility in properties with individually metered units could be considered with unit agreement signed by </w:t>
      </w:r>
      <w:r w:rsidR="6CCAEEB7">
        <w:t>C</w:t>
      </w:r>
      <w:r>
        <w:t>ustomer</w:t>
      </w:r>
      <w:r w:rsidR="6CCAEEB7">
        <w:t xml:space="preserve"> </w:t>
      </w:r>
      <w:r>
        <w:t>/</w:t>
      </w:r>
      <w:r w:rsidR="6CCAEEB7">
        <w:t xml:space="preserve"> </w:t>
      </w:r>
      <w:r>
        <w:t xml:space="preserve">tenant and building </w:t>
      </w:r>
      <w:r w:rsidR="6CCAEEB7">
        <w:t>O</w:t>
      </w:r>
      <w:r>
        <w:t xml:space="preserve">wner. </w:t>
      </w:r>
    </w:p>
    <w:p w14:paraId="41E79C6D" w14:textId="06620711" w:rsidR="002B7B3C" w:rsidRDefault="092423ED" w:rsidP="006907F8">
      <w:pPr>
        <w:pStyle w:val="ListParagraph"/>
        <w:numPr>
          <w:ilvl w:val="0"/>
          <w:numId w:val="24"/>
        </w:numPr>
        <w:spacing w:before="80" w:line="276" w:lineRule="auto"/>
      </w:pPr>
      <w:r w:rsidRPr="727BFE15">
        <w:rPr>
          <w:b/>
          <w:bCs/>
        </w:rPr>
        <w:t xml:space="preserve">On-site PV: </w:t>
      </w:r>
      <w:r w:rsidR="6CCAEEB7">
        <w:t>S</w:t>
      </w:r>
      <w:r>
        <w:t xml:space="preserve">olar PV may be </w:t>
      </w:r>
      <w:r w:rsidR="4843EE43">
        <w:t xml:space="preserve">recommended or </w:t>
      </w:r>
      <w:r>
        <w:t xml:space="preserve">required at </w:t>
      </w:r>
      <w:r w:rsidR="48AE87AC">
        <w:t>some</w:t>
      </w:r>
      <w:r>
        <w:t xml:space="preserve"> site</w:t>
      </w:r>
      <w:r w:rsidR="48AE87AC">
        <w:t>s</w:t>
      </w:r>
      <w:r w:rsidR="6CCAEEB7">
        <w:t>,</w:t>
      </w:r>
      <w:r>
        <w:t xml:space="preserve"> to ensure alignment with final </w:t>
      </w:r>
      <w:r w:rsidR="6CCAEEB7">
        <w:t>P</w:t>
      </w:r>
      <w:r>
        <w:t>rogram requirements for project cost</w:t>
      </w:r>
      <w:r w:rsidR="6CCAEEB7">
        <w:t xml:space="preserve"> </w:t>
      </w:r>
      <w:r>
        <w:t>effectiveness and bill</w:t>
      </w:r>
      <w:r w:rsidR="6CCAEEB7">
        <w:t xml:space="preserve"> </w:t>
      </w:r>
      <w:r>
        <w:t>neutrality</w:t>
      </w:r>
      <w:r w:rsidR="6CCAEEB7">
        <w:t>.</w:t>
      </w:r>
    </w:p>
    <w:p w14:paraId="6CC81190" w14:textId="0248456A" w:rsidR="002B7B3C" w:rsidRDefault="092423ED" w:rsidP="006907F8">
      <w:pPr>
        <w:pStyle w:val="ListParagraph"/>
        <w:numPr>
          <w:ilvl w:val="0"/>
          <w:numId w:val="24"/>
        </w:numPr>
        <w:spacing w:before="80" w:line="276" w:lineRule="auto"/>
      </w:pPr>
      <w:r w:rsidRPr="727BFE15">
        <w:rPr>
          <w:b/>
          <w:bCs/>
        </w:rPr>
        <w:t>Geographic targeting for system benefits:</w:t>
      </w:r>
      <w:r>
        <w:t xml:space="preserve"> </w:t>
      </w:r>
      <w:r w:rsidR="6CCAEEB7">
        <w:t>[</w:t>
      </w:r>
      <w:r>
        <w:t xml:space="preserve">Depending on the partner </w:t>
      </w:r>
      <w:r w:rsidR="6CCAEEB7">
        <w:t>U</w:t>
      </w:r>
      <w:r>
        <w:t>tility</w:t>
      </w:r>
      <w:r w:rsidR="6CCAEEB7">
        <w:t>]</w:t>
      </w:r>
      <w:r>
        <w:t xml:space="preserve">, additional system benefits </w:t>
      </w:r>
      <w:r w:rsidR="6CCAEEB7">
        <w:t xml:space="preserve">could be </w:t>
      </w:r>
      <w:r>
        <w:t xml:space="preserve">delivered by exceeding certain thresholds of </w:t>
      </w:r>
      <w:r w:rsidR="6CCAEEB7">
        <w:t>C</w:t>
      </w:r>
      <w:r>
        <w:t>ustomer participation in certain geographies. For example, if high participation in a specific neighborhood could delay or eliminate the need for gas distribution system upgrades or allow for a specific gas line to be de-commissioned, those cost savings could be used to incent</w:t>
      </w:r>
      <w:r w:rsidR="6CCAEEB7">
        <w:t>ivize</w:t>
      </w:r>
      <w:r>
        <w:t xml:space="preserve"> or otherwise benefit TOB </w:t>
      </w:r>
      <w:r w:rsidR="6CCAEEB7">
        <w:t>P</w:t>
      </w:r>
      <w:r>
        <w:t>rogram participants</w:t>
      </w:r>
      <w:r w:rsidR="6CCAEEB7">
        <w:t>.</w:t>
      </w:r>
    </w:p>
    <w:p w14:paraId="5256A3D8" w14:textId="78C64309" w:rsidR="002B7B3C" w:rsidRPr="007C06CC" w:rsidRDefault="6CCAEEB7" w:rsidP="002B7B3C">
      <w:pPr>
        <w:rPr>
          <w:rFonts w:eastAsia="Times New Roman"/>
          <w:color w:val="000000"/>
        </w:rPr>
      </w:pPr>
      <w:r w:rsidRPr="727BFE15">
        <w:rPr>
          <w:rFonts w:eastAsia="Times New Roman"/>
          <w:color w:val="000000"/>
        </w:rPr>
        <w:t>[</w:t>
      </w:r>
      <w:r w:rsidR="092423ED" w:rsidRPr="727BFE15">
        <w:rPr>
          <w:rFonts w:eastAsia="Times New Roman"/>
          <w:color w:val="000000"/>
        </w:rPr>
        <w:t xml:space="preserve">Note that if the </w:t>
      </w:r>
      <w:r w:rsidR="23B8D362" w:rsidRPr="727BFE15">
        <w:rPr>
          <w:rFonts w:eastAsia="Times New Roman"/>
          <w:color w:val="000000"/>
        </w:rPr>
        <w:t xml:space="preserve">partner </w:t>
      </w:r>
      <w:r w:rsidRPr="727BFE15">
        <w:rPr>
          <w:rFonts w:eastAsia="Times New Roman"/>
          <w:color w:val="000000"/>
        </w:rPr>
        <w:t>U</w:t>
      </w:r>
      <w:r w:rsidR="23B8D362" w:rsidRPr="727BFE15">
        <w:rPr>
          <w:rFonts w:eastAsia="Times New Roman"/>
          <w:color w:val="000000"/>
        </w:rPr>
        <w:t xml:space="preserve">tility </w:t>
      </w:r>
      <w:r w:rsidR="092423ED" w:rsidRPr="727BFE15">
        <w:rPr>
          <w:rFonts w:eastAsia="Times New Roman"/>
          <w:color w:val="000000"/>
        </w:rPr>
        <w:t xml:space="preserve">seeks to decommission a gas line entirely, then it needs to offer comprehensive measures, </w:t>
      </w:r>
      <w:r w:rsidRPr="727BFE15">
        <w:rPr>
          <w:rFonts w:eastAsia="Times New Roman"/>
          <w:color w:val="000000"/>
        </w:rPr>
        <w:t xml:space="preserve">target </w:t>
      </w:r>
      <w:r w:rsidR="092423ED" w:rsidRPr="727BFE15">
        <w:rPr>
          <w:rFonts w:eastAsia="Times New Roman"/>
          <w:color w:val="000000"/>
        </w:rPr>
        <w:t xml:space="preserve">early replacement, and serve all </w:t>
      </w:r>
      <w:r w:rsidRPr="727BFE15">
        <w:rPr>
          <w:rFonts w:eastAsia="Times New Roman"/>
          <w:color w:val="000000"/>
        </w:rPr>
        <w:t>C</w:t>
      </w:r>
      <w:r w:rsidR="092423ED" w:rsidRPr="727BFE15">
        <w:rPr>
          <w:rFonts w:eastAsia="Times New Roman"/>
          <w:color w:val="000000"/>
        </w:rPr>
        <w:t>ustomers on that gas line</w:t>
      </w:r>
      <w:r w:rsidRPr="727BFE15">
        <w:rPr>
          <w:rFonts w:eastAsia="Times New Roman"/>
          <w:color w:val="000000"/>
        </w:rPr>
        <w:t>,</w:t>
      </w:r>
      <w:r w:rsidR="092423ED" w:rsidRPr="727BFE15">
        <w:rPr>
          <w:rFonts w:eastAsia="Times New Roman"/>
          <w:color w:val="000000"/>
        </w:rPr>
        <w:t xml:space="preserve"> regardless of demographics and building type.</w:t>
      </w:r>
      <w:r w:rsidR="3AD4DFA3" w:rsidRPr="727BFE15">
        <w:rPr>
          <w:rFonts w:eastAsia="Times New Roman"/>
          <w:color w:val="000000"/>
        </w:rPr>
        <w:t>]</w:t>
      </w:r>
      <w:r w:rsidR="092423ED" w:rsidRPr="727BFE15">
        <w:rPr>
          <w:rFonts w:eastAsia="Times New Roman"/>
          <w:color w:val="000000"/>
        </w:rPr>
        <w:t xml:space="preserve"> The economics for such an investment strategy will be very different from the use cases analyzed for this </w:t>
      </w:r>
      <w:r w:rsidR="3AD4DFA3" w:rsidRPr="727BFE15">
        <w:rPr>
          <w:rFonts w:eastAsia="Times New Roman"/>
          <w:color w:val="000000"/>
        </w:rPr>
        <w:t>plan</w:t>
      </w:r>
      <w:r w:rsidR="092423ED" w:rsidRPr="727BFE15">
        <w:rPr>
          <w:rFonts w:eastAsia="Times New Roman"/>
          <w:color w:val="000000"/>
        </w:rPr>
        <w:t>.</w:t>
      </w:r>
    </w:p>
    <w:p w14:paraId="00246A6C" w14:textId="77777777" w:rsidR="00F814A6" w:rsidRDefault="3AD4DFA3" w:rsidP="727BFE15">
      <w:pPr>
        <w:rPr>
          <w:i/>
          <w:iCs/>
        </w:rPr>
      </w:pPr>
      <w:r w:rsidRPr="727BFE15">
        <w:rPr>
          <w:i/>
          <w:iCs/>
        </w:rPr>
        <w:t>From TECH Clean California:</w:t>
      </w:r>
    </w:p>
    <w:p w14:paraId="60D869E9" w14:textId="71A0C49F" w:rsidR="002B7B3C" w:rsidRPr="00F814A6" w:rsidRDefault="1B4D6636" w:rsidP="727BFE15">
      <w:pPr>
        <w:rPr>
          <w:i/>
          <w:iCs/>
        </w:rPr>
      </w:pPr>
      <w:r w:rsidRPr="727BFE15">
        <w:rPr>
          <w:i/>
          <w:iCs/>
        </w:rPr>
        <w:t>Customize t</w:t>
      </w:r>
      <w:r w:rsidR="092423ED" w:rsidRPr="727BFE15">
        <w:rPr>
          <w:i/>
          <w:iCs/>
        </w:rPr>
        <w:t xml:space="preserve">his section </w:t>
      </w:r>
      <w:r w:rsidRPr="727BFE15">
        <w:rPr>
          <w:i/>
          <w:iCs/>
        </w:rPr>
        <w:t xml:space="preserve">as needed to describe </w:t>
      </w:r>
      <w:r w:rsidR="359BD0ED" w:rsidRPr="727BFE15">
        <w:rPr>
          <w:i/>
          <w:iCs/>
        </w:rPr>
        <w:t>C</w:t>
      </w:r>
      <w:r w:rsidRPr="727BFE15">
        <w:rPr>
          <w:i/>
          <w:iCs/>
        </w:rPr>
        <w:t>ustomer eligibility criteria</w:t>
      </w:r>
      <w:r w:rsidR="092423ED" w:rsidRPr="727BFE15">
        <w:rPr>
          <w:i/>
          <w:iCs/>
        </w:rPr>
        <w:t xml:space="preserve">, </w:t>
      </w:r>
      <w:r w:rsidR="359BD0ED" w:rsidRPr="727BFE15">
        <w:rPr>
          <w:i/>
          <w:iCs/>
        </w:rPr>
        <w:t>involving</w:t>
      </w:r>
      <w:r w:rsidR="092423ED" w:rsidRPr="727BFE15">
        <w:rPr>
          <w:i/>
          <w:iCs/>
        </w:rPr>
        <w:t>:</w:t>
      </w:r>
    </w:p>
    <w:p w14:paraId="696404AE" w14:textId="00A5DB0F" w:rsidR="002B7B3C" w:rsidRPr="00F814A6" w:rsidRDefault="092423ED" w:rsidP="727BFE15">
      <w:pPr>
        <w:pStyle w:val="NormalWeb"/>
        <w:numPr>
          <w:ilvl w:val="0"/>
          <w:numId w:val="25"/>
        </w:numPr>
        <w:rPr>
          <w:i/>
          <w:iCs/>
        </w:rPr>
      </w:pPr>
      <w:r w:rsidRPr="727BFE15">
        <w:rPr>
          <w:i/>
          <w:iCs/>
        </w:rPr>
        <w:t xml:space="preserve">Intended </w:t>
      </w:r>
      <w:r w:rsidR="359BD0ED" w:rsidRPr="727BFE15">
        <w:rPr>
          <w:i/>
          <w:iCs/>
        </w:rPr>
        <w:t>a</w:t>
      </w:r>
      <w:r w:rsidRPr="727BFE15">
        <w:rPr>
          <w:i/>
          <w:iCs/>
        </w:rPr>
        <w:t>udience</w:t>
      </w:r>
    </w:p>
    <w:p w14:paraId="3D147CC6" w14:textId="77777777" w:rsidR="002B7B3C" w:rsidRPr="00F814A6" w:rsidRDefault="092423ED" w:rsidP="727BFE15">
      <w:pPr>
        <w:pStyle w:val="NormalWeb"/>
        <w:numPr>
          <w:ilvl w:val="0"/>
          <w:numId w:val="25"/>
        </w:numPr>
        <w:rPr>
          <w:i/>
          <w:iCs/>
        </w:rPr>
      </w:pPr>
      <w:r w:rsidRPr="727BFE15">
        <w:rPr>
          <w:i/>
          <w:iCs/>
        </w:rPr>
        <w:t xml:space="preserve">Eligibility requirements for appliance recipients, for example:  </w:t>
      </w:r>
    </w:p>
    <w:p w14:paraId="5603918B" w14:textId="4B15B004" w:rsidR="002B7B3C" w:rsidRPr="00F814A6" w:rsidRDefault="092423ED" w:rsidP="727BFE15">
      <w:pPr>
        <w:pStyle w:val="NormalWeb"/>
        <w:numPr>
          <w:ilvl w:val="0"/>
          <w:numId w:val="25"/>
        </w:numPr>
        <w:rPr>
          <w:i/>
          <w:iCs/>
        </w:rPr>
      </w:pPr>
      <w:r w:rsidRPr="727BFE15">
        <w:rPr>
          <w:i/>
          <w:iCs/>
        </w:rPr>
        <w:t>Geographic area</w:t>
      </w:r>
      <w:r w:rsidR="359BD0ED" w:rsidRPr="727BFE15">
        <w:rPr>
          <w:i/>
          <w:iCs/>
        </w:rPr>
        <w:t xml:space="preserve"> </w:t>
      </w:r>
      <w:r w:rsidRPr="727BFE15">
        <w:rPr>
          <w:i/>
          <w:iCs/>
        </w:rPr>
        <w:t>/</w:t>
      </w:r>
      <w:r w:rsidR="359BD0ED" w:rsidRPr="727BFE15">
        <w:rPr>
          <w:i/>
          <w:iCs/>
        </w:rPr>
        <w:t xml:space="preserve"> </w:t>
      </w:r>
      <w:r w:rsidRPr="727BFE15">
        <w:rPr>
          <w:i/>
          <w:iCs/>
        </w:rPr>
        <w:t xml:space="preserve">Utility service territory </w:t>
      </w:r>
    </w:p>
    <w:p w14:paraId="61F364A0" w14:textId="77777777" w:rsidR="002B7B3C" w:rsidRPr="00F814A6" w:rsidRDefault="092423ED" w:rsidP="727BFE15">
      <w:pPr>
        <w:pStyle w:val="NormalWeb"/>
        <w:numPr>
          <w:ilvl w:val="0"/>
          <w:numId w:val="25"/>
        </w:numPr>
        <w:rPr>
          <w:i/>
          <w:iCs/>
        </w:rPr>
      </w:pPr>
      <w:r w:rsidRPr="727BFE15">
        <w:rPr>
          <w:i/>
          <w:iCs/>
        </w:rPr>
        <w:t>Types of buildings or energy systems</w:t>
      </w:r>
    </w:p>
    <w:p w14:paraId="516833E0" w14:textId="0DC3553C" w:rsidR="002B7B3C" w:rsidRPr="00F814A6" w:rsidRDefault="092423ED" w:rsidP="727BFE15">
      <w:pPr>
        <w:pStyle w:val="NormalWeb"/>
        <w:numPr>
          <w:ilvl w:val="0"/>
          <w:numId w:val="25"/>
        </w:numPr>
        <w:rPr>
          <w:i/>
          <w:iCs/>
        </w:rPr>
      </w:pPr>
      <w:r w:rsidRPr="727BFE15">
        <w:rPr>
          <w:i/>
          <w:iCs/>
        </w:rPr>
        <w:t>Market trigger events (</w:t>
      </w:r>
      <w:r w:rsidR="359BD0ED" w:rsidRPr="727BFE15">
        <w:rPr>
          <w:i/>
          <w:iCs/>
        </w:rPr>
        <w:t xml:space="preserve">for example, </w:t>
      </w:r>
      <w:r w:rsidRPr="727BFE15">
        <w:rPr>
          <w:i/>
          <w:iCs/>
        </w:rPr>
        <w:t>equipment replacement on burnout, home renovation, early replacement, time of home resale)</w:t>
      </w:r>
    </w:p>
    <w:p w14:paraId="259B0BD7" w14:textId="33EC800F" w:rsidR="002B7B3C" w:rsidRPr="00F814A6" w:rsidRDefault="092423ED" w:rsidP="727BFE15">
      <w:pPr>
        <w:pStyle w:val="NormalWeb"/>
        <w:numPr>
          <w:ilvl w:val="0"/>
          <w:numId w:val="25"/>
        </w:numPr>
        <w:rPr>
          <w:i/>
          <w:iCs/>
        </w:rPr>
      </w:pPr>
      <w:r w:rsidRPr="727BFE15">
        <w:rPr>
          <w:i/>
          <w:iCs/>
        </w:rPr>
        <w:t>Customer demographics and</w:t>
      </w:r>
      <w:r w:rsidR="359BD0ED" w:rsidRPr="727BFE15">
        <w:rPr>
          <w:i/>
          <w:iCs/>
        </w:rPr>
        <w:t xml:space="preserve"> </w:t>
      </w:r>
      <w:r w:rsidRPr="727BFE15">
        <w:rPr>
          <w:i/>
          <w:iCs/>
        </w:rPr>
        <w:t>/</w:t>
      </w:r>
      <w:r w:rsidR="359BD0ED" w:rsidRPr="727BFE15">
        <w:rPr>
          <w:i/>
          <w:iCs/>
        </w:rPr>
        <w:t xml:space="preserve"> </w:t>
      </w:r>
      <w:r w:rsidRPr="727BFE15">
        <w:rPr>
          <w:i/>
          <w:iCs/>
        </w:rPr>
        <w:t>or income</w:t>
      </w:r>
    </w:p>
    <w:p w14:paraId="48220D6C" w14:textId="4BEBCD03" w:rsidR="002B7B3C" w:rsidRPr="00F814A6" w:rsidRDefault="359BD0ED" w:rsidP="727BFE15">
      <w:pPr>
        <w:pStyle w:val="NormalWeb"/>
        <w:numPr>
          <w:ilvl w:val="0"/>
          <w:numId w:val="25"/>
        </w:numPr>
        <w:rPr>
          <w:i/>
          <w:iCs/>
        </w:rPr>
      </w:pPr>
      <w:r w:rsidRPr="727BFE15">
        <w:rPr>
          <w:i/>
          <w:iCs/>
        </w:rPr>
        <w:t xml:space="preserve">Energy use </w:t>
      </w:r>
      <w:r w:rsidR="092423ED" w:rsidRPr="727BFE15">
        <w:rPr>
          <w:i/>
          <w:iCs/>
        </w:rPr>
        <w:t>patterns or amounts</w:t>
      </w:r>
    </w:p>
    <w:p w14:paraId="05FF5ED6" w14:textId="7DB0E4CE" w:rsidR="00022AB9" w:rsidRDefault="3095C428" w:rsidP="00C726A8">
      <w:pPr>
        <w:pStyle w:val="Heading2"/>
      </w:pPr>
      <w:bookmarkStart w:id="38" w:name="_Toc98921608"/>
      <w:r>
        <w:t>Eligible Technologies</w:t>
      </w:r>
      <w:bookmarkEnd w:id="38"/>
    </w:p>
    <w:p w14:paraId="0E408BF7" w14:textId="7F20DACC" w:rsidR="006832D6" w:rsidRPr="006832D6" w:rsidRDefault="359BD0ED" w:rsidP="727BFE15">
      <w:pPr>
        <w:rPr>
          <w:i/>
          <w:iCs/>
        </w:rPr>
      </w:pPr>
      <w:r w:rsidRPr="727BFE15">
        <w:rPr>
          <w:i/>
          <w:iCs/>
        </w:rPr>
        <w:t>From the CPUC:</w:t>
      </w:r>
    </w:p>
    <w:p w14:paraId="139D1BEC" w14:textId="7FB8136A" w:rsidR="006832D6" w:rsidRPr="006832D6" w:rsidRDefault="359BD0ED" w:rsidP="727BFE15">
      <w:pPr>
        <w:rPr>
          <w:i/>
          <w:iCs/>
        </w:rPr>
      </w:pPr>
      <w:r w:rsidRPr="727BFE15">
        <w:rPr>
          <w:i/>
          <w:iCs/>
        </w:rPr>
        <w:t>Which clean energy technologies or distributed energy resources will be supported by the program? If the program focuses on a limited or specific type of technology or technologies, explain why that specific type of technology or technologies should be prioritized for a new clean energy financing program</w:t>
      </w:r>
    </w:p>
    <w:p w14:paraId="2504CCCF" w14:textId="5670176B" w:rsidR="006832D6" w:rsidRDefault="7252DF63" w:rsidP="00EE5097">
      <w:r>
        <w:t xml:space="preserve">At a minimum, eligible technologies will include conversion of gas space heating and water heating end uses to high-performance electric alternatives. Other technologies may be included at the partner </w:t>
      </w:r>
      <w:r w:rsidR="359BD0ED">
        <w:t>U</w:t>
      </w:r>
      <w:r>
        <w:t xml:space="preserve">tility’s discretion. A key criterion will be that eligible technologies need to show a quantifiable impact on </w:t>
      </w:r>
      <w:r w:rsidR="359BD0ED">
        <w:t>C</w:t>
      </w:r>
      <w:r>
        <w:t xml:space="preserve">ustomer utility bills that can support tariff-based measure cost recovery and reduce </w:t>
      </w:r>
      <w:r w:rsidR="359BD0ED">
        <w:t>C</w:t>
      </w:r>
      <w:r>
        <w:t xml:space="preserve">ustomer-level GHG emissions. </w:t>
      </w:r>
    </w:p>
    <w:p w14:paraId="2A686844" w14:textId="7C88623F" w:rsidR="00EE5097" w:rsidRPr="006832D6" w:rsidRDefault="7252DF63" w:rsidP="727BFE15">
      <w:pPr>
        <w:rPr>
          <w:rFonts w:eastAsia="Lato"/>
        </w:rPr>
      </w:pPr>
      <w:r>
        <w:t xml:space="preserve">A secondary criterion is that technologies should be controllable to minimize loads during peak periods. As shown above, the inclusion of energy efficiency and PV </w:t>
      </w:r>
      <w:r w:rsidR="359BD0ED">
        <w:t xml:space="preserve">could </w:t>
      </w:r>
      <w:r>
        <w:t>be necessary to produce a financially viable project scope.</w:t>
      </w:r>
      <w:r w:rsidR="359BD0ED">
        <w:t xml:space="preserve"> </w:t>
      </w:r>
      <w:r w:rsidR="359BD0ED" w:rsidRPr="727BFE15">
        <w:rPr>
          <w:b/>
          <w:bCs/>
        </w:rPr>
        <w:t xml:space="preserve">Table 12 </w:t>
      </w:r>
      <w:r w:rsidR="359BD0ED">
        <w:t xml:space="preserve">offers details about </w:t>
      </w:r>
      <w:r w:rsidR="538BB503">
        <w:t>the possible technologies.</w:t>
      </w:r>
    </w:p>
    <w:p w14:paraId="0274B639" w14:textId="2D3B5993" w:rsidR="00EE5097" w:rsidRDefault="7252DF63" w:rsidP="00EE5097">
      <w:pPr>
        <w:rPr>
          <w:b/>
          <w:bCs/>
        </w:rPr>
      </w:pPr>
      <w:r w:rsidRPr="727BFE15">
        <w:rPr>
          <w:b/>
          <w:bCs/>
        </w:rPr>
        <w:t>Table</w:t>
      </w:r>
      <w:r w:rsidR="0FA5B5E0" w:rsidRPr="727BFE15">
        <w:rPr>
          <w:b/>
          <w:bCs/>
        </w:rPr>
        <w:t xml:space="preserve"> </w:t>
      </w:r>
      <w:r w:rsidR="538BB503" w:rsidRPr="727BFE15">
        <w:rPr>
          <w:b/>
          <w:bCs/>
        </w:rPr>
        <w:t>12</w:t>
      </w:r>
      <w:r w:rsidRPr="727BFE15">
        <w:rPr>
          <w:b/>
          <w:bCs/>
        </w:rPr>
        <w:t xml:space="preserve">. Technology </w:t>
      </w:r>
      <w:r w:rsidR="538BB503" w:rsidRPr="727BFE15">
        <w:rPr>
          <w:b/>
          <w:bCs/>
        </w:rPr>
        <w:t>c</w:t>
      </w:r>
      <w:r w:rsidRPr="727BFE15">
        <w:rPr>
          <w:b/>
          <w:bCs/>
        </w:rPr>
        <w:t xml:space="preserve">omponents of </w:t>
      </w:r>
      <w:r w:rsidR="538BB503" w:rsidRPr="727BFE15">
        <w:rPr>
          <w:b/>
          <w:bCs/>
        </w:rPr>
        <w:t>p</w:t>
      </w:r>
      <w:r w:rsidRPr="727BFE15">
        <w:rPr>
          <w:b/>
          <w:bCs/>
        </w:rPr>
        <w:t xml:space="preserve">roposed Program </w:t>
      </w:r>
      <w:r w:rsidR="538BB503" w:rsidRPr="727BFE15">
        <w:rPr>
          <w:b/>
          <w:bCs/>
        </w:rPr>
        <w:t>m</w:t>
      </w:r>
      <w:r w:rsidRPr="727BFE15">
        <w:rPr>
          <w:b/>
          <w:bCs/>
        </w:rPr>
        <w:t xml:space="preserve">easure </w:t>
      </w:r>
      <w:r w:rsidR="538BB503" w:rsidRPr="727BFE15">
        <w:rPr>
          <w:b/>
          <w:bCs/>
        </w:rPr>
        <w:t>p</w:t>
      </w:r>
      <w:r w:rsidRPr="727BFE15">
        <w:rPr>
          <w:b/>
          <w:bCs/>
        </w:rPr>
        <w:t>ackage</w:t>
      </w:r>
    </w:p>
    <w:tbl>
      <w:tblPr>
        <w:tblStyle w:val="GridTable5Dark-Accent1"/>
        <w:tblW w:w="9715" w:type="dxa"/>
        <w:tblLayout w:type="fixed"/>
        <w:tblLook w:val="04A0" w:firstRow="1" w:lastRow="0" w:firstColumn="1" w:lastColumn="0" w:noHBand="0" w:noVBand="1"/>
      </w:tblPr>
      <w:tblGrid>
        <w:gridCol w:w="4135"/>
        <w:gridCol w:w="2909"/>
        <w:gridCol w:w="2671"/>
      </w:tblGrid>
      <w:tr w:rsidR="00EE5097" w14:paraId="7B3E9611" w14:textId="77777777" w:rsidTr="00383A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135" w:type="dxa"/>
          </w:tcPr>
          <w:p w14:paraId="527F610D" w14:textId="77777777" w:rsidR="00EE5097" w:rsidRDefault="00EE5097" w:rsidP="00B34E09">
            <w:pPr>
              <w:rPr>
                <w:rFonts w:eastAsia="Lato"/>
                <w:b w:val="0"/>
                <w:bCs w:val="0"/>
                <w:szCs w:val="22"/>
              </w:rPr>
            </w:pPr>
            <w:r w:rsidRPr="63124144">
              <w:t>Technology</w:t>
            </w:r>
          </w:p>
        </w:tc>
        <w:tc>
          <w:tcPr>
            <w:tcW w:w="2909" w:type="dxa"/>
          </w:tcPr>
          <w:p w14:paraId="7BBB2057" w14:textId="77777777" w:rsidR="00EE5097" w:rsidRDefault="00EE5097" w:rsidP="00B34E09">
            <w:pPr>
              <w:cnfStyle w:val="100000000000" w:firstRow="1" w:lastRow="0" w:firstColumn="0" w:lastColumn="0" w:oddVBand="0" w:evenVBand="0" w:oddHBand="0" w:evenHBand="0" w:firstRowFirstColumn="0" w:firstRowLastColumn="0" w:lastRowFirstColumn="0" w:lastRowLastColumn="0"/>
              <w:rPr>
                <w:rFonts w:eastAsia="Lato"/>
                <w:b w:val="0"/>
                <w:bCs w:val="0"/>
                <w:szCs w:val="22"/>
              </w:rPr>
            </w:pPr>
            <w:r w:rsidRPr="63124144">
              <w:t>Rationale</w:t>
            </w:r>
          </w:p>
        </w:tc>
        <w:tc>
          <w:tcPr>
            <w:tcW w:w="2671" w:type="dxa"/>
          </w:tcPr>
          <w:p w14:paraId="54D49AAC" w14:textId="0F9D85D2" w:rsidR="00EE5097" w:rsidRDefault="7252DF63" w:rsidP="002F7B5C">
            <w:pPr>
              <w:ind w:left="35" w:hanging="35"/>
              <w:cnfStyle w:val="100000000000" w:firstRow="1" w:lastRow="0" w:firstColumn="0" w:lastColumn="0" w:oddVBand="0" w:evenVBand="0" w:oddHBand="0" w:evenHBand="0" w:firstRowFirstColumn="0" w:firstRowLastColumn="0" w:lastRowFirstColumn="0" w:lastRowLastColumn="0"/>
              <w:rPr>
                <w:rFonts w:eastAsia="Lato"/>
                <w:b w:val="0"/>
                <w:bCs w:val="0"/>
              </w:rPr>
            </w:pPr>
            <w:r>
              <w:t xml:space="preserve">Funding </w:t>
            </w:r>
            <w:r w:rsidR="538BB503">
              <w:t>s</w:t>
            </w:r>
            <w:r>
              <w:t>ource</w:t>
            </w:r>
          </w:p>
        </w:tc>
      </w:tr>
      <w:tr w:rsidR="00EE5097" w14:paraId="729339E8" w14:textId="77777777" w:rsidTr="00383A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35" w:type="dxa"/>
          </w:tcPr>
          <w:p w14:paraId="2B10055C" w14:textId="356F209F" w:rsidR="00EE5097" w:rsidRPr="001C2C05" w:rsidRDefault="7252DF63" w:rsidP="727BFE15">
            <w:pPr>
              <w:rPr>
                <w:rFonts w:eastAsia="Lato"/>
                <w:b w:val="0"/>
                <w:bCs w:val="0"/>
              </w:rPr>
            </w:pPr>
            <w:r>
              <w:rPr>
                <w:b w:val="0"/>
                <w:bCs w:val="0"/>
              </w:rPr>
              <w:t xml:space="preserve">Heat </w:t>
            </w:r>
            <w:r w:rsidR="538BB503">
              <w:rPr>
                <w:b w:val="0"/>
                <w:bCs w:val="0"/>
              </w:rPr>
              <w:t>p</w:t>
            </w:r>
            <w:r>
              <w:rPr>
                <w:b w:val="0"/>
                <w:bCs w:val="0"/>
              </w:rPr>
              <w:t>ump, minimum 10 HSPF (2.9 COP), 18 SEER</w:t>
            </w:r>
          </w:p>
        </w:tc>
        <w:tc>
          <w:tcPr>
            <w:tcW w:w="2909" w:type="dxa"/>
          </w:tcPr>
          <w:p w14:paraId="20AA6594" w14:textId="77777777" w:rsidR="00EE5097" w:rsidRDefault="00EE5097" w:rsidP="00B34E09">
            <w:pPr>
              <w:cnfStyle w:val="000000100000" w:firstRow="0" w:lastRow="0" w:firstColumn="0" w:lastColumn="0" w:oddVBand="0" w:evenVBand="0" w:oddHBand="1" w:evenHBand="0" w:firstRowFirstColumn="0" w:firstRowLastColumn="0" w:lastRowFirstColumn="0" w:lastRowLastColumn="0"/>
              <w:rPr>
                <w:rFonts w:eastAsia="Lato"/>
                <w:szCs w:val="22"/>
              </w:rPr>
            </w:pPr>
            <w:r>
              <w:t>Significant source of residential GHG emissions; specify the most cost-effective efficiency level commercially available.</w:t>
            </w:r>
          </w:p>
        </w:tc>
        <w:tc>
          <w:tcPr>
            <w:tcW w:w="2671" w:type="dxa"/>
          </w:tcPr>
          <w:p w14:paraId="4407995C" w14:textId="65ABDCE3" w:rsidR="00EE5097" w:rsidRDefault="7252DF63" w:rsidP="727BFE15">
            <w:pPr>
              <w:cnfStyle w:val="000000100000" w:firstRow="0" w:lastRow="0" w:firstColumn="0" w:lastColumn="0" w:oddVBand="0" w:evenVBand="0" w:oddHBand="1" w:evenHBand="0" w:firstRowFirstColumn="0" w:firstRowLastColumn="0" w:lastRowFirstColumn="0" w:lastRowLastColumn="0"/>
              <w:rPr>
                <w:rFonts w:eastAsia="Lato"/>
              </w:rPr>
            </w:pPr>
            <w:r>
              <w:t xml:space="preserve">TOB </w:t>
            </w:r>
            <w:r w:rsidR="538BB503">
              <w:t>i</w:t>
            </w:r>
            <w:r>
              <w:t xml:space="preserve">nvestment + </w:t>
            </w:r>
            <w:r w:rsidR="538BB503">
              <w:t>i</w:t>
            </w:r>
            <w:r>
              <w:t>ncentives</w:t>
            </w:r>
          </w:p>
        </w:tc>
      </w:tr>
      <w:tr w:rsidR="00EE5097" w14:paraId="69DAB483" w14:textId="77777777" w:rsidTr="00383A1B">
        <w:trPr>
          <w:cantSplit/>
        </w:trPr>
        <w:tc>
          <w:tcPr>
            <w:cnfStyle w:val="001000000000" w:firstRow="0" w:lastRow="0" w:firstColumn="1" w:lastColumn="0" w:oddVBand="0" w:evenVBand="0" w:oddHBand="0" w:evenHBand="0" w:firstRowFirstColumn="0" w:firstRowLastColumn="0" w:lastRowFirstColumn="0" w:lastRowLastColumn="0"/>
            <w:tcW w:w="4135" w:type="dxa"/>
          </w:tcPr>
          <w:p w14:paraId="1521712B" w14:textId="5AF86E80" w:rsidR="00EE5097" w:rsidRPr="001C2C05" w:rsidRDefault="7252DF63" w:rsidP="00B34E09">
            <w:pPr>
              <w:rPr>
                <w:b w:val="0"/>
                <w:bCs w:val="0"/>
              </w:rPr>
            </w:pPr>
            <w:r w:rsidRPr="727BFE15">
              <w:rPr>
                <w:rFonts w:eastAsia="Times New Roman"/>
                <w:b w:val="0"/>
                <w:bCs w:val="0"/>
                <w:color w:val="000000"/>
              </w:rPr>
              <w:t xml:space="preserve">Internet-enabled </w:t>
            </w:r>
            <w:r w:rsidR="538BB503" w:rsidRPr="727BFE15">
              <w:rPr>
                <w:rFonts w:eastAsia="Times New Roman"/>
                <w:b w:val="0"/>
                <w:bCs w:val="0"/>
                <w:color w:val="000000"/>
              </w:rPr>
              <w:t>s</w:t>
            </w:r>
            <w:r w:rsidRPr="727BFE15">
              <w:rPr>
                <w:rFonts w:eastAsia="Times New Roman"/>
                <w:b w:val="0"/>
                <w:bCs w:val="0"/>
                <w:color w:val="000000"/>
              </w:rPr>
              <w:t xml:space="preserve">mart </w:t>
            </w:r>
            <w:r w:rsidR="538BB503" w:rsidRPr="727BFE15">
              <w:rPr>
                <w:rFonts w:eastAsia="Times New Roman"/>
                <w:b w:val="0"/>
                <w:bCs w:val="0"/>
                <w:color w:val="000000"/>
              </w:rPr>
              <w:t>t</w:t>
            </w:r>
            <w:r w:rsidRPr="727BFE15">
              <w:rPr>
                <w:rFonts w:eastAsia="Times New Roman"/>
                <w:b w:val="0"/>
                <w:bCs w:val="0"/>
                <w:color w:val="000000"/>
              </w:rPr>
              <w:t>hermostat, Ecobee or equivalent</w:t>
            </w:r>
          </w:p>
        </w:tc>
        <w:tc>
          <w:tcPr>
            <w:tcW w:w="2909" w:type="dxa"/>
          </w:tcPr>
          <w:p w14:paraId="3EFF4A13" w14:textId="77777777" w:rsidR="00EE5097" w:rsidRDefault="00EE5097" w:rsidP="00B34E09">
            <w:pPr>
              <w:cnfStyle w:val="000000000000" w:firstRow="0" w:lastRow="0" w:firstColumn="0" w:lastColumn="0" w:oddVBand="0" w:evenVBand="0" w:oddHBand="0" w:evenHBand="0" w:firstRowFirstColumn="0" w:firstRowLastColumn="0" w:lastRowFirstColumn="0" w:lastRowLastColumn="0"/>
            </w:pPr>
            <w:r w:rsidRPr="3F0F75C9">
              <w:rPr>
                <w:rFonts w:eastAsia="Times New Roman"/>
                <w:color w:val="000000"/>
                <w:szCs w:val="22"/>
              </w:rPr>
              <w:t>Improves energy efficiency; facilitates demand response and load shifting; facilitates remote monitoring and detection of performance issues; may contribute to “virtual submetering”</w:t>
            </w:r>
          </w:p>
        </w:tc>
        <w:tc>
          <w:tcPr>
            <w:tcW w:w="2671" w:type="dxa"/>
          </w:tcPr>
          <w:p w14:paraId="62C9915E" w14:textId="63F271B4" w:rsidR="00EE5097" w:rsidRDefault="7252DF63" w:rsidP="727BFE15">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727BFE15">
              <w:rPr>
                <w:rFonts w:eastAsia="Times New Roman"/>
                <w:color w:val="000000"/>
              </w:rPr>
              <w:t xml:space="preserve">TOB </w:t>
            </w:r>
            <w:r w:rsidR="538BB503" w:rsidRPr="727BFE15">
              <w:rPr>
                <w:rFonts w:eastAsia="Times New Roman"/>
                <w:color w:val="000000"/>
              </w:rPr>
              <w:t>i</w:t>
            </w:r>
            <w:r w:rsidRPr="727BFE15">
              <w:rPr>
                <w:rFonts w:eastAsia="Times New Roman"/>
                <w:color w:val="000000"/>
              </w:rPr>
              <w:t xml:space="preserve">nvestment + </w:t>
            </w:r>
            <w:r w:rsidR="538BB503" w:rsidRPr="727BFE15">
              <w:rPr>
                <w:rFonts w:eastAsia="Times New Roman"/>
                <w:color w:val="000000"/>
              </w:rPr>
              <w:t>i</w:t>
            </w:r>
            <w:r w:rsidRPr="727BFE15">
              <w:rPr>
                <w:rFonts w:eastAsia="Times New Roman"/>
                <w:color w:val="000000"/>
              </w:rPr>
              <w:t>ncentives</w:t>
            </w:r>
          </w:p>
        </w:tc>
      </w:tr>
      <w:tr w:rsidR="00EE5097" w14:paraId="78606E1C" w14:textId="77777777" w:rsidTr="00383A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35" w:type="dxa"/>
          </w:tcPr>
          <w:p w14:paraId="064BFEFA" w14:textId="19014D2C" w:rsidR="00EE5097" w:rsidRPr="001C2C05" w:rsidRDefault="7252DF63" w:rsidP="00B34E09">
            <w:pPr>
              <w:rPr>
                <w:rFonts w:eastAsia="Times New Roman"/>
                <w:b w:val="0"/>
                <w:bCs w:val="0"/>
                <w:color w:val="000000"/>
              </w:rPr>
            </w:pPr>
            <w:r w:rsidRPr="727BFE15">
              <w:rPr>
                <w:rFonts w:eastAsia="Times New Roman"/>
                <w:b w:val="0"/>
                <w:bCs w:val="0"/>
                <w:color w:val="000000"/>
              </w:rPr>
              <w:t xml:space="preserve">Heat </w:t>
            </w:r>
            <w:r w:rsidR="538BB503" w:rsidRPr="727BFE15">
              <w:rPr>
                <w:rFonts w:eastAsia="Times New Roman"/>
                <w:b w:val="0"/>
                <w:bCs w:val="0"/>
                <w:color w:val="000000"/>
              </w:rPr>
              <w:t>p</w:t>
            </w:r>
            <w:r w:rsidRPr="727BFE15">
              <w:rPr>
                <w:rFonts w:eastAsia="Times New Roman"/>
                <w:b w:val="0"/>
                <w:bCs w:val="0"/>
                <w:color w:val="000000"/>
              </w:rPr>
              <w:t xml:space="preserve">ump </w:t>
            </w:r>
            <w:r w:rsidR="538BB503" w:rsidRPr="727BFE15">
              <w:rPr>
                <w:rFonts w:eastAsia="Times New Roman"/>
                <w:b w:val="0"/>
                <w:bCs w:val="0"/>
                <w:color w:val="000000"/>
              </w:rPr>
              <w:t>w</w:t>
            </w:r>
            <w:r w:rsidRPr="727BFE15">
              <w:rPr>
                <w:rFonts w:eastAsia="Times New Roman"/>
                <w:b w:val="0"/>
                <w:bCs w:val="0"/>
                <w:color w:val="000000"/>
              </w:rPr>
              <w:t xml:space="preserve">ater </w:t>
            </w:r>
            <w:r w:rsidR="538BB503" w:rsidRPr="727BFE15">
              <w:rPr>
                <w:rFonts w:eastAsia="Times New Roman"/>
                <w:b w:val="0"/>
                <w:bCs w:val="0"/>
                <w:color w:val="000000"/>
              </w:rPr>
              <w:t>h</w:t>
            </w:r>
            <w:r w:rsidRPr="727BFE15">
              <w:rPr>
                <w:rFonts w:eastAsia="Times New Roman"/>
                <w:b w:val="0"/>
                <w:bCs w:val="0"/>
                <w:color w:val="000000"/>
              </w:rPr>
              <w:t>eater, 50 or 80 gal</w:t>
            </w:r>
            <w:r w:rsidR="538BB503" w:rsidRPr="727BFE15">
              <w:rPr>
                <w:rFonts w:eastAsia="Times New Roman"/>
                <w:b w:val="0"/>
                <w:bCs w:val="0"/>
                <w:color w:val="000000"/>
              </w:rPr>
              <w:t>lons</w:t>
            </w:r>
            <w:r w:rsidRPr="727BFE15">
              <w:rPr>
                <w:rFonts w:eastAsia="Times New Roman"/>
                <w:b w:val="0"/>
                <w:bCs w:val="0"/>
                <w:color w:val="000000"/>
              </w:rPr>
              <w:t>, minimum 3.1 COP, with Internet-enabled controls</w:t>
            </w:r>
          </w:p>
        </w:tc>
        <w:tc>
          <w:tcPr>
            <w:tcW w:w="2909" w:type="dxa"/>
          </w:tcPr>
          <w:p w14:paraId="2C817A30" w14:textId="77777777" w:rsidR="00EE5097" w:rsidRDefault="00EE5097" w:rsidP="00B34E09">
            <w:pPr>
              <w:cnfStyle w:val="000000100000" w:firstRow="0" w:lastRow="0" w:firstColumn="0" w:lastColumn="0" w:oddVBand="0" w:evenVBand="0" w:oddHBand="1" w:evenHBand="0" w:firstRowFirstColumn="0" w:firstRowLastColumn="0" w:lastRowFirstColumn="0" w:lastRowLastColumn="0"/>
            </w:pPr>
            <w:r w:rsidRPr="3F0F75C9">
              <w:rPr>
                <w:rFonts w:eastAsia="Times New Roman"/>
                <w:color w:val="000000"/>
                <w:szCs w:val="22"/>
              </w:rPr>
              <w:t>Significant source of residential GHG emissions; specify the most cost-effective efficiency level commercially available.</w:t>
            </w:r>
          </w:p>
        </w:tc>
        <w:tc>
          <w:tcPr>
            <w:tcW w:w="2671" w:type="dxa"/>
          </w:tcPr>
          <w:p w14:paraId="7E395435" w14:textId="5BA0E0EB" w:rsidR="00EE5097" w:rsidRDefault="7252DF63" w:rsidP="727BFE15">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727BFE15">
              <w:rPr>
                <w:rFonts w:eastAsia="Times New Roman"/>
                <w:color w:val="000000"/>
              </w:rPr>
              <w:t xml:space="preserve">TOB </w:t>
            </w:r>
            <w:r w:rsidR="538BB503" w:rsidRPr="727BFE15">
              <w:rPr>
                <w:rFonts w:eastAsia="Times New Roman"/>
                <w:color w:val="000000"/>
              </w:rPr>
              <w:t>i</w:t>
            </w:r>
            <w:r w:rsidRPr="727BFE15">
              <w:rPr>
                <w:rFonts w:eastAsia="Times New Roman"/>
                <w:color w:val="000000"/>
              </w:rPr>
              <w:t xml:space="preserve">nvestment + </w:t>
            </w:r>
            <w:r w:rsidR="538BB503" w:rsidRPr="727BFE15">
              <w:rPr>
                <w:rFonts w:eastAsia="Times New Roman"/>
                <w:color w:val="000000"/>
              </w:rPr>
              <w:t>i</w:t>
            </w:r>
            <w:r w:rsidRPr="727BFE15">
              <w:rPr>
                <w:rFonts w:eastAsia="Times New Roman"/>
                <w:color w:val="000000"/>
              </w:rPr>
              <w:t>ncentives</w:t>
            </w:r>
          </w:p>
        </w:tc>
      </w:tr>
      <w:tr w:rsidR="009B6D1B" w14:paraId="7F768E25" w14:textId="77777777" w:rsidTr="00383A1B">
        <w:trPr>
          <w:cantSplit/>
        </w:trPr>
        <w:tc>
          <w:tcPr>
            <w:cnfStyle w:val="001000000000" w:firstRow="0" w:lastRow="0" w:firstColumn="1" w:lastColumn="0" w:oddVBand="0" w:evenVBand="0" w:oddHBand="0" w:evenHBand="0" w:firstRowFirstColumn="0" w:firstRowLastColumn="0" w:lastRowFirstColumn="0" w:lastRowLastColumn="0"/>
            <w:tcW w:w="4135" w:type="dxa"/>
          </w:tcPr>
          <w:p w14:paraId="266D27ED" w14:textId="7787148F" w:rsidR="009B6D1B" w:rsidRPr="001C2C05" w:rsidRDefault="15D9CA9E" w:rsidP="009B6D1B">
            <w:pPr>
              <w:rPr>
                <w:b w:val="0"/>
                <w:bCs w:val="0"/>
              </w:rPr>
            </w:pPr>
            <w:r w:rsidRPr="727BFE15">
              <w:rPr>
                <w:rFonts w:eastAsia="Times New Roman"/>
                <w:b w:val="0"/>
                <w:bCs w:val="0"/>
                <w:color w:val="000000"/>
              </w:rPr>
              <w:t xml:space="preserve">Optional PV system sized to cover </w:t>
            </w:r>
            <w:r w:rsidR="538BB503" w:rsidRPr="727BFE15">
              <w:rPr>
                <w:rFonts w:eastAsia="Times New Roman"/>
                <w:b w:val="0"/>
                <w:bCs w:val="0"/>
                <w:color w:val="000000"/>
              </w:rPr>
              <w:t xml:space="preserve">at least </w:t>
            </w:r>
            <w:r w:rsidRPr="727BFE15">
              <w:rPr>
                <w:rFonts w:eastAsia="Times New Roman"/>
                <w:b w:val="0"/>
                <w:bCs w:val="0"/>
                <w:color w:val="000000"/>
              </w:rPr>
              <w:t xml:space="preserve">100% of expected cooling load; Internet-enabled </w:t>
            </w:r>
            <w:r w:rsidR="538BB503" w:rsidRPr="727BFE15">
              <w:rPr>
                <w:rFonts w:eastAsia="Times New Roman"/>
                <w:b w:val="0"/>
                <w:bCs w:val="0"/>
                <w:color w:val="000000"/>
              </w:rPr>
              <w:t>i</w:t>
            </w:r>
            <w:r w:rsidRPr="727BFE15">
              <w:rPr>
                <w:rFonts w:eastAsia="Times New Roman"/>
                <w:b w:val="0"/>
                <w:bCs w:val="0"/>
                <w:color w:val="000000"/>
              </w:rPr>
              <w:t>nverter for remote data collection</w:t>
            </w:r>
          </w:p>
        </w:tc>
        <w:tc>
          <w:tcPr>
            <w:tcW w:w="2909" w:type="dxa"/>
          </w:tcPr>
          <w:p w14:paraId="44A17D66" w14:textId="1D82F8C0" w:rsidR="009B6D1B" w:rsidRDefault="15D9CA9E" w:rsidP="009B6D1B">
            <w:pPr>
              <w:cnfStyle w:val="000000000000" w:firstRow="0" w:lastRow="0" w:firstColumn="0" w:lastColumn="0" w:oddVBand="0" w:evenVBand="0" w:oddHBand="0" w:evenHBand="0" w:firstRowFirstColumn="0" w:firstRowLastColumn="0" w:lastRowFirstColumn="0" w:lastRowLastColumn="0"/>
            </w:pPr>
            <w:r w:rsidRPr="727BFE15">
              <w:rPr>
                <w:rFonts w:eastAsia="Times New Roman"/>
                <w:color w:val="000000"/>
              </w:rPr>
              <w:t>Offsets any load increases from new cooling loads or take-back effects; improves overall project financial performance</w:t>
            </w:r>
          </w:p>
        </w:tc>
        <w:tc>
          <w:tcPr>
            <w:tcW w:w="2671" w:type="dxa"/>
          </w:tcPr>
          <w:p w14:paraId="025484C8" w14:textId="5C398CBD" w:rsidR="009B6D1B" w:rsidRDefault="15D9CA9E" w:rsidP="727BFE15">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727BFE15">
              <w:rPr>
                <w:rFonts w:eastAsia="Times New Roman"/>
                <w:color w:val="000000"/>
              </w:rPr>
              <w:t xml:space="preserve">TOB </w:t>
            </w:r>
            <w:r w:rsidR="538BB503" w:rsidRPr="727BFE15">
              <w:rPr>
                <w:rFonts w:eastAsia="Times New Roman"/>
                <w:color w:val="000000"/>
              </w:rPr>
              <w:t>i</w:t>
            </w:r>
            <w:r w:rsidRPr="727BFE15">
              <w:rPr>
                <w:rFonts w:eastAsia="Times New Roman"/>
                <w:color w:val="000000"/>
              </w:rPr>
              <w:t xml:space="preserve">nvestment + </w:t>
            </w:r>
            <w:r w:rsidR="538BB503" w:rsidRPr="727BFE15">
              <w:rPr>
                <w:rFonts w:eastAsia="Times New Roman"/>
                <w:color w:val="000000"/>
              </w:rPr>
              <w:t>i</w:t>
            </w:r>
            <w:r w:rsidRPr="727BFE15">
              <w:rPr>
                <w:rFonts w:eastAsia="Times New Roman"/>
                <w:color w:val="000000"/>
              </w:rPr>
              <w:t xml:space="preserve">ncentives and </w:t>
            </w:r>
            <w:r w:rsidR="538BB503" w:rsidRPr="727BFE15">
              <w:rPr>
                <w:rFonts w:eastAsia="Times New Roman"/>
                <w:color w:val="000000"/>
              </w:rPr>
              <w:t>t</w:t>
            </w:r>
            <w:r w:rsidRPr="727BFE15">
              <w:rPr>
                <w:rFonts w:eastAsia="Times New Roman"/>
                <w:color w:val="000000"/>
              </w:rPr>
              <w:t xml:space="preserve">ax </w:t>
            </w:r>
            <w:r w:rsidR="538BB503" w:rsidRPr="727BFE15">
              <w:rPr>
                <w:rFonts w:eastAsia="Times New Roman"/>
                <w:color w:val="000000"/>
              </w:rPr>
              <w:t>c</w:t>
            </w:r>
            <w:r w:rsidRPr="727BFE15">
              <w:rPr>
                <w:rFonts w:eastAsia="Times New Roman"/>
                <w:color w:val="000000"/>
              </w:rPr>
              <w:t>redits</w:t>
            </w:r>
          </w:p>
        </w:tc>
      </w:tr>
      <w:tr w:rsidR="00421A15" w14:paraId="25C84D3A" w14:textId="77777777" w:rsidTr="00383A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35" w:type="dxa"/>
          </w:tcPr>
          <w:p w14:paraId="02382911" w14:textId="77777777" w:rsidR="00421A15" w:rsidRPr="001C2C05" w:rsidRDefault="00421A15" w:rsidP="00421A15">
            <w:pPr>
              <w:rPr>
                <w:b w:val="0"/>
                <w:bCs w:val="0"/>
              </w:rPr>
            </w:pPr>
            <w:r w:rsidRPr="001C2C05">
              <w:rPr>
                <w:rFonts w:eastAsia="Times New Roman"/>
                <w:b w:val="0"/>
                <w:bCs w:val="0"/>
                <w:color w:val="000000"/>
                <w:szCs w:val="22"/>
              </w:rPr>
              <w:t>Optional battery storage system capable of meeting 4 hours of peak demand</w:t>
            </w:r>
          </w:p>
        </w:tc>
        <w:tc>
          <w:tcPr>
            <w:tcW w:w="2909" w:type="dxa"/>
          </w:tcPr>
          <w:p w14:paraId="3F8C32E3" w14:textId="486469D2" w:rsidR="00421A15" w:rsidRDefault="578CFDA8" w:rsidP="00421A15">
            <w:pPr>
              <w:cnfStyle w:val="000000100000" w:firstRow="0" w:lastRow="0" w:firstColumn="0" w:lastColumn="0" w:oddVBand="0" w:evenVBand="0" w:oddHBand="1" w:evenHBand="0" w:firstRowFirstColumn="0" w:firstRowLastColumn="0" w:lastRowFirstColumn="0" w:lastRowLastColumn="0"/>
            </w:pPr>
            <w:r w:rsidRPr="727BFE15">
              <w:rPr>
                <w:rFonts w:eastAsia="Times New Roman"/>
                <w:color w:val="000000"/>
              </w:rPr>
              <w:t xml:space="preserve">Facilitates demand response and load shifting; ensures value of PV system against future changes to </w:t>
            </w:r>
            <w:r w:rsidR="435A9144" w:rsidRPr="727BFE15">
              <w:rPr>
                <w:rFonts w:eastAsia="Times New Roman"/>
                <w:color w:val="000000"/>
              </w:rPr>
              <w:t>net energy metering (</w:t>
            </w:r>
            <w:r w:rsidRPr="727BFE15">
              <w:rPr>
                <w:rFonts w:eastAsia="Times New Roman"/>
                <w:color w:val="000000"/>
              </w:rPr>
              <w:t>NEM</w:t>
            </w:r>
            <w:r w:rsidR="435A9144" w:rsidRPr="727BFE15">
              <w:rPr>
                <w:rFonts w:eastAsia="Times New Roman"/>
                <w:color w:val="000000"/>
              </w:rPr>
              <w:t>)</w:t>
            </w:r>
            <w:r w:rsidRPr="727BFE15">
              <w:rPr>
                <w:rFonts w:eastAsia="Times New Roman"/>
                <w:color w:val="000000"/>
              </w:rPr>
              <w:t xml:space="preserve"> tariffs; provides resiliency for </w:t>
            </w:r>
            <w:r w:rsidR="435A9144" w:rsidRPr="727BFE15">
              <w:rPr>
                <w:rFonts w:eastAsia="Times New Roman"/>
                <w:color w:val="000000"/>
              </w:rPr>
              <w:t>C</w:t>
            </w:r>
            <w:r w:rsidRPr="727BFE15">
              <w:rPr>
                <w:rFonts w:eastAsia="Times New Roman"/>
                <w:color w:val="000000"/>
              </w:rPr>
              <w:t xml:space="preserve">ustomers who face </w:t>
            </w:r>
            <w:r w:rsidR="233A06AD" w:rsidRPr="727BFE15">
              <w:rPr>
                <w:rFonts w:eastAsia="Times New Roman"/>
                <w:color w:val="000000"/>
              </w:rPr>
              <w:t>public safety power shutoff</w:t>
            </w:r>
            <w:r w:rsidRPr="727BFE15">
              <w:rPr>
                <w:rFonts w:eastAsia="Times New Roman"/>
                <w:color w:val="000000"/>
              </w:rPr>
              <w:t xml:space="preserve"> events; may improve overall project financial performance</w:t>
            </w:r>
          </w:p>
        </w:tc>
        <w:tc>
          <w:tcPr>
            <w:tcW w:w="2671" w:type="dxa"/>
          </w:tcPr>
          <w:p w14:paraId="008913C6" w14:textId="7C009F6C" w:rsidR="00421A15" w:rsidRDefault="578CFDA8" w:rsidP="727BFE15">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727BFE15">
              <w:rPr>
                <w:rFonts w:eastAsia="Times New Roman"/>
                <w:color w:val="000000"/>
              </w:rPr>
              <w:t xml:space="preserve">TOB </w:t>
            </w:r>
            <w:r w:rsidR="34357ECC" w:rsidRPr="727BFE15">
              <w:rPr>
                <w:rFonts w:eastAsia="Times New Roman"/>
                <w:color w:val="000000"/>
              </w:rPr>
              <w:t>i</w:t>
            </w:r>
            <w:r w:rsidRPr="727BFE15">
              <w:rPr>
                <w:rFonts w:eastAsia="Times New Roman"/>
                <w:color w:val="000000"/>
              </w:rPr>
              <w:t xml:space="preserve">nvestment + </w:t>
            </w:r>
            <w:r w:rsidR="34357ECC" w:rsidRPr="727BFE15">
              <w:rPr>
                <w:rFonts w:eastAsia="Times New Roman"/>
                <w:color w:val="000000"/>
              </w:rPr>
              <w:t>i</w:t>
            </w:r>
            <w:r w:rsidRPr="727BFE15">
              <w:rPr>
                <w:rFonts w:eastAsia="Times New Roman"/>
                <w:color w:val="000000"/>
              </w:rPr>
              <w:t xml:space="preserve">ncentives and </w:t>
            </w:r>
            <w:r w:rsidR="34357ECC" w:rsidRPr="727BFE15">
              <w:rPr>
                <w:rFonts w:eastAsia="Times New Roman"/>
                <w:color w:val="000000"/>
              </w:rPr>
              <w:t>t</w:t>
            </w:r>
            <w:r w:rsidRPr="727BFE15">
              <w:rPr>
                <w:rFonts w:eastAsia="Times New Roman"/>
                <w:color w:val="000000"/>
              </w:rPr>
              <w:t xml:space="preserve">ax </w:t>
            </w:r>
            <w:r w:rsidR="34357ECC" w:rsidRPr="727BFE15">
              <w:rPr>
                <w:rFonts w:eastAsia="Times New Roman"/>
                <w:color w:val="000000"/>
              </w:rPr>
              <w:t>c</w:t>
            </w:r>
            <w:r w:rsidRPr="727BFE15">
              <w:rPr>
                <w:rFonts w:eastAsia="Times New Roman"/>
                <w:color w:val="000000"/>
              </w:rPr>
              <w:t>redits</w:t>
            </w:r>
          </w:p>
        </w:tc>
      </w:tr>
      <w:tr w:rsidR="00EE5097" w14:paraId="24C562E6" w14:textId="77777777" w:rsidTr="00383A1B">
        <w:trPr>
          <w:cantSplit/>
        </w:trPr>
        <w:tc>
          <w:tcPr>
            <w:cnfStyle w:val="001000000000" w:firstRow="0" w:lastRow="0" w:firstColumn="1" w:lastColumn="0" w:oddVBand="0" w:evenVBand="0" w:oddHBand="0" w:evenHBand="0" w:firstRowFirstColumn="0" w:firstRowLastColumn="0" w:lastRowFirstColumn="0" w:lastRowLastColumn="0"/>
            <w:tcW w:w="4135" w:type="dxa"/>
          </w:tcPr>
          <w:p w14:paraId="104769B0" w14:textId="77777777" w:rsidR="00EE5097" w:rsidRPr="001C2C05" w:rsidRDefault="00EE5097" w:rsidP="00B34E09">
            <w:pPr>
              <w:rPr>
                <w:rFonts w:eastAsia="Times New Roman"/>
                <w:b w:val="0"/>
                <w:bCs w:val="0"/>
                <w:color w:val="000000"/>
                <w:szCs w:val="22"/>
              </w:rPr>
            </w:pPr>
            <w:r w:rsidRPr="001C2C05">
              <w:rPr>
                <w:rFonts w:eastAsia="Times New Roman"/>
                <w:b w:val="0"/>
                <w:bCs w:val="0"/>
                <w:color w:val="000000"/>
                <w:szCs w:val="22"/>
              </w:rPr>
              <w:t>Optional: Energy-efficient upgrades to building shell, ducts, and hot water distribution systems</w:t>
            </w:r>
          </w:p>
        </w:tc>
        <w:tc>
          <w:tcPr>
            <w:tcW w:w="2909" w:type="dxa"/>
          </w:tcPr>
          <w:p w14:paraId="1EAE4C16" w14:textId="58A0274A" w:rsidR="00EE5097" w:rsidRDefault="7252DF63" w:rsidP="727BFE15">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727BFE15">
              <w:rPr>
                <w:rFonts w:eastAsia="Times New Roman"/>
                <w:color w:val="000000"/>
              </w:rPr>
              <w:t>Include if cost-effective</w:t>
            </w:r>
            <w:r w:rsidR="34357ECC" w:rsidRPr="727BFE15">
              <w:rPr>
                <w:rFonts w:eastAsia="Times New Roman"/>
                <w:color w:val="000000"/>
              </w:rPr>
              <w:t>,</w:t>
            </w:r>
            <w:r w:rsidRPr="727BFE15">
              <w:rPr>
                <w:rFonts w:eastAsia="Times New Roman"/>
                <w:color w:val="000000"/>
              </w:rPr>
              <w:t xml:space="preserve"> or if </w:t>
            </w:r>
            <w:r w:rsidR="34357ECC" w:rsidRPr="727BFE15">
              <w:rPr>
                <w:rFonts w:eastAsia="Times New Roman"/>
                <w:color w:val="000000"/>
              </w:rPr>
              <w:t>C</w:t>
            </w:r>
            <w:r w:rsidRPr="727BFE15">
              <w:rPr>
                <w:rFonts w:eastAsia="Times New Roman"/>
                <w:color w:val="000000"/>
              </w:rPr>
              <w:t>ustomer wishes to co</w:t>
            </w:r>
            <w:r w:rsidR="34357ECC" w:rsidRPr="727BFE15">
              <w:rPr>
                <w:rFonts w:eastAsia="Times New Roman"/>
                <w:color w:val="000000"/>
              </w:rPr>
              <w:t>-</w:t>
            </w:r>
            <w:r w:rsidRPr="727BFE15">
              <w:rPr>
                <w:rFonts w:eastAsia="Times New Roman"/>
                <w:color w:val="000000"/>
              </w:rPr>
              <w:t>pay for non-energy benefits</w:t>
            </w:r>
          </w:p>
        </w:tc>
        <w:tc>
          <w:tcPr>
            <w:tcW w:w="2671" w:type="dxa"/>
          </w:tcPr>
          <w:p w14:paraId="1FA99A3C" w14:textId="2B70D889" w:rsidR="00EE5097" w:rsidRDefault="7252DF63" w:rsidP="00B34E09">
            <w:pPr>
              <w:cnfStyle w:val="000000000000" w:firstRow="0" w:lastRow="0" w:firstColumn="0" w:lastColumn="0" w:oddVBand="0" w:evenVBand="0" w:oddHBand="0" w:evenHBand="0" w:firstRowFirstColumn="0" w:firstRowLastColumn="0" w:lastRowFirstColumn="0" w:lastRowLastColumn="0"/>
            </w:pPr>
            <w:r w:rsidRPr="727BFE15">
              <w:rPr>
                <w:rFonts w:eastAsia="Times New Roman"/>
                <w:color w:val="000000"/>
              </w:rPr>
              <w:t xml:space="preserve">TOB </w:t>
            </w:r>
            <w:r w:rsidR="34357ECC" w:rsidRPr="727BFE15">
              <w:rPr>
                <w:rFonts w:eastAsia="Times New Roman"/>
                <w:color w:val="000000"/>
              </w:rPr>
              <w:t>i</w:t>
            </w:r>
            <w:r w:rsidRPr="727BFE15">
              <w:rPr>
                <w:rFonts w:eastAsia="Times New Roman"/>
                <w:color w:val="000000"/>
              </w:rPr>
              <w:t xml:space="preserve">nvestment + </w:t>
            </w:r>
            <w:r w:rsidR="34357ECC" w:rsidRPr="727BFE15">
              <w:rPr>
                <w:rFonts w:eastAsia="Times New Roman"/>
                <w:color w:val="000000"/>
              </w:rPr>
              <w:t>i</w:t>
            </w:r>
            <w:r w:rsidRPr="727BFE15">
              <w:rPr>
                <w:rFonts w:eastAsia="Times New Roman"/>
                <w:color w:val="000000"/>
              </w:rPr>
              <w:t xml:space="preserve">ncentives or </w:t>
            </w:r>
            <w:r w:rsidR="34357ECC" w:rsidRPr="727BFE15">
              <w:rPr>
                <w:rFonts w:eastAsia="Times New Roman"/>
                <w:color w:val="000000"/>
              </w:rPr>
              <w:t>C</w:t>
            </w:r>
            <w:r w:rsidRPr="727BFE15">
              <w:rPr>
                <w:rFonts w:eastAsia="Times New Roman"/>
                <w:color w:val="000000"/>
              </w:rPr>
              <w:t>ustomer co</w:t>
            </w:r>
            <w:r w:rsidR="34357ECC" w:rsidRPr="727BFE15">
              <w:rPr>
                <w:rFonts w:eastAsia="Times New Roman"/>
                <w:color w:val="000000"/>
              </w:rPr>
              <w:t>-</w:t>
            </w:r>
            <w:r w:rsidRPr="727BFE15">
              <w:rPr>
                <w:rFonts w:eastAsia="Times New Roman"/>
                <w:color w:val="000000"/>
              </w:rPr>
              <w:t>pay</w:t>
            </w:r>
          </w:p>
          <w:p w14:paraId="488EAE66" w14:textId="77777777" w:rsidR="00EE5097" w:rsidRDefault="00EE5097" w:rsidP="00B34E09">
            <w:pPr>
              <w:cnfStyle w:val="000000000000" w:firstRow="0" w:lastRow="0" w:firstColumn="0" w:lastColumn="0" w:oddVBand="0" w:evenVBand="0" w:oddHBand="0" w:evenHBand="0" w:firstRowFirstColumn="0" w:firstRowLastColumn="0" w:lastRowFirstColumn="0" w:lastRowLastColumn="0"/>
              <w:rPr>
                <w:rFonts w:eastAsia="Times New Roman"/>
                <w:color w:val="000000"/>
                <w:szCs w:val="22"/>
              </w:rPr>
            </w:pPr>
          </w:p>
        </w:tc>
      </w:tr>
      <w:tr w:rsidR="00EE5097" w14:paraId="49DC7C84" w14:textId="77777777" w:rsidTr="00383A1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135" w:type="dxa"/>
          </w:tcPr>
          <w:p w14:paraId="436FD9A3" w14:textId="77777777" w:rsidR="00EE5097" w:rsidRPr="001C2C05" w:rsidRDefault="00EE5097" w:rsidP="00B34E09">
            <w:pPr>
              <w:rPr>
                <w:b w:val="0"/>
                <w:bCs w:val="0"/>
              </w:rPr>
            </w:pPr>
            <w:r w:rsidRPr="001C2C05">
              <w:rPr>
                <w:rFonts w:eastAsia="Times New Roman"/>
                <w:b w:val="0"/>
                <w:bCs w:val="0"/>
                <w:color w:val="000000"/>
                <w:szCs w:val="22"/>
              </w:rPr>
              <w:t>Pre-wiring for electric cooking, clothes drying (if gas clothes drying is present), and car charging</w:t>
            </w:r>
          </w:p>
        </w:tc>
        <w:tc>
          <w:tcPr>
            <w:tcW w:w="2909" w:type="dxa"/>
          </w:tcPr>
          <w:p w14:paraId="34FD1204" w14:textId="513A68D9" w:rsidR="00EE5097" w:rsidRDefault="7252DF63" w:rsidP="00B34E09">
            <w:pPr>
              <w:cnfStyle w:val="000000100000" w:firstRow="0" w:lastRow="0" w:firstColumn="0" w:lastColumn="0" w:oddVBand="0" w:evenVBand="0" w:oddHBand="1" w:evenHBand="0" w:firstRowFirstColumn="0" w:firstRowLastColumn="0" w:lastRowFirstColumn="0" w:lastRowLastColumn="0"/>
            </w:pPr>
            <w:r w:rsidRPr="727BFE15">
              <w:rPr>
                <w:rFonts w:eastAsia="Times New Roman"/>
                <w:color w:val="000000"/>
              </w:rPr>
              <w:t>Precondition for whole-house electrification</w:t>
            </w:r>
          </w:p>
        </w:tc>
        <w:tc>
          <w:tcPr>
            <w:tcW w:w="2671" w:type="dxa"/>
          </w:tcPr>
          <w:p w14:paraId="6BA8E816" w14:textId="5F369BA4" w:rsidR="00EE5097" w:rsidRDefault="19D9C376" w:rsidP="00B34E09">
            <w:pPr>
              <w:cnfStyle w:val="000000100000" w:firstRow="0" w:lastRow="0" w:firstColumn="0" w:lastColumn="0" w:oddVBand="0" w:evenVBand="0" w:oddHBand="1" w:evenHBand="0" w:firstRowFirstColumn="0" w:firstRowLastColumn="0" w:lastRowFirstColumn="0" w:lastRowLastColumn="0"/>
            </w:pPr>
            <w:r w:rsidRPr="727BFE15">
              <w:rPr>
                <w:rFonts w:eastAsia="Times New Roman"/>
                <w:color w:val="000000"/>
              </w:rPr>
              <w:t xml:space="preserve">TOB </w:t>
            </w:r>
            <w:r w:rsidR="34357ECC" w:rsidRPr="727BFE15">
              <w:rPr>
                <w:rFonts w:eastAsia="Times New Roman"/>
                <w:color w:val="000000"/>
              </w:rPr>
              <w:t>i</w:t>
            </w:r>
            <w:r w:rsidRPr="727BFE15">
              <w:rPr>
                <w:rFonts w:eastAsia="Times New Roman"/>
                <w:color w:val="000000"/>
              </w:rPr>
              <w:t xml:space="preserve">nvestment or </w:t>
            </w:r>
            <w:r w:rsidR="34357ECC" w:rsidRPr="727BFE15">
              <w:rPr>
                <w:rFonts w:eastAsia="Times New Roman"/>
                <w:color w:val="000000"/>
              </w:rPr>
              <w:t>r</w:t>
            </w:r>
            <w:r w:rsidR="7252DF63" w:rsidRPr="727BFE15">
              <w:rPr>
                <w:rFonts w:eastAsia="Times New Roman"/>
                <w:color w:val="000000"/>
              </w:rPr>
              <w:t>atepayer funding</w:t>
            </w:r>
          </w:p>
        </w:tc>
      </w:tr>
      <w:tr w:rsidR="00F56A01" w14:paraId="510BE11E" w14:textId="77777777" w:rsidTr="00383A1B">
        <w:trPr>
          <w:cantSplit/>
        </w:trPr>
        <w:tc>
          <w:tcPr>
            <w:cnfStyle w:val="001000000000" w:firstRow="0" w:lastRow="0" w:firstColumn="1" w:lastColumn="0" w:oddVBand="0" w:evenVBand="0" w:oddHBand="0" w:evenHBand="0" w:firstRowFirstColumn="0" w:firstRowLastColumn="0" w:lastRowFirstColumn="0" w:lastRowLastColumn="0"/>
            <w:tcW w:w="4135" w:type="dxa"/>
          </w:tcPr>
          <w:p w14:paraId="2AA1BCC8" w14:textId="2560B9CD" w:rsidR="00F56A01" w:rsidRPr="001C2C05" w:rsidRDefault="00F56A01" w:rsidP="00F56A01">
            <w:pPr>
              <w:rPr>
                <w:b w:val="0"/>
                <w:bCs w:val="0"/>
              </w:rPr>
            </w:pPr>
            <w:r w:rsidRPr="001C2C05">
              <w:rPr>
                <w:rFonts w:eastAsia="Times New Roman"/>
                <w:b w:val="0"/>
                <w:bCs w:val="0"/>
                <w:color w:val="000000"/>
              </w:rPr>
              <w:t>Service panel upgrade, as needed</w:t>
            </w:r>
          </w:p>
        </w:tc>
        <w:tc>
          <w:tcPr>
            <w:tcW w:w="2909" w:type="dxa"/>
          </w:tcPr>
          <w:p w14:paraId="19D3FC8E" w14:textId="07F6BA8E" w:rsidR="00F56A01" w:rsidRDefault="3D9DC405" w:rsidP="00F56A01">
            <w:pPr>
              <w:cnfStyle w:val="000000000000" w:firstRow="0" w:lastRow="0" w:firstColumn="0" w:lastColumn="0" w:oddVBand="0" w:evenVBand="0" w:oddHBand="0" w:evenHBand="0" w:firstRowFirstColumn="0" w:firstRowLastColumn="0" w:lastRowFirstColumn="0" w:lastRowLastColumn="0"/>
            </w:pPr>
            <w:r w:rsidRPr="727BFE15">
              <w:rPr>
                <w:rFonts w:eastAsia="Times New Roman"/>
                <w:color w:val="000000"/>
              </w:rPr>
              <w:t>Precondition for whole-house electrification</w:t>
            </w:r>
            <w:r w:rsidR="73E791AB" w:rsidRPr="727BFE15">
              <w:rPr>
                <w:rFonts w:eastAsia="Times New Roman"/>
                <w:color w:val="000000"/>
              </w:rPr>
              <w:t xml:space="preserve"> in some cases</w:t>
            </w:r>
          </w:p>
        </w:tc>
        <w:tc>
          <w:tcPr>
            <w:tcW w:w="2671" w:type="dxa"/>
          </w:tcPr>
          <w:p w14:paraId="748C9A64" w14:textId="533C3272" w:rsidR="00F56A01" w:rsidRDefault="3D9DC405" w:rsidP="00F56A01">
            <w:pPr>
              <w:cnfStyle w:val="000000000000" w:firstRow="0" w:lastRow="0" w:firstColumn="0" w:lastColumn="0" w:oddVBand="0" w:evenVBand="0" w:oddHBand="0" w:evenHBand="0" w:firstRowFirstColumn="0" w:firstRowLastColumn="0" w:lastRowFirstColumn="0" w:lastRowLastColumn="0"/>
            </w:pPr>
            <w:r w:rsidRPr="727BFE15">
              <w:rPr>
                <w:rFonts w:eastAsia="Times New Roman"/>
                <w:color w:val="000000"/>
              </w:rPr>
              <w:t>TECH incentives and</w:t>
            </w:r>
            <w:r w:rsidR="30AFC865" w:rsidRPr="727BFE15">
              <w:rPr>
                <w:rFonts w:eastAsia="Times New Roman"/>
                <w:color w:val="000000"/>
              </w:rPr>
              <w:t xml:space="preserve"> </w:t>
            </w:r>
            <w:r w:rsidRPr="727BFE15">
              <w:rPr>
                <w:rFonts w:eastAsia="Times New Roman"/>
                <w:color w:val="000000"/>
              </w:rPr>
              <w:t>/</w:t>
            </w:r>
            <w:r w:rsidR="30AFC865" w:rsidRPr="727BFE15">
              <w:rPr>
                <w:rFonts w:eastAsia="Times New Roman"/>
                <w:color w:val="000000"/>
              </w:rPr>
              <w:t xml:space="preserve"> </w:t>
            </w:r>
            <w:r w:rsidRPr="727BFE15">
              <w:rPr>
                <w:rFonts w:eastAsia="Times New Roman"/>
                <w:color w:val="000000"/>
              </w:rPr>
              <w:t>or ratepayer funding</w:t>
            </w:r>
          </w:p>
        </w:tc>
      </w:tr>
    </w:tbl>
    <w:p w14:paraId="3182E0A9" w14:textId="77777777" w:rsidR="00EE5097" w:rsidRDefault="00EE5097" w:rsidP="00EE5097"/>
    <w:p w14:paraId="792341A0" w14:textId="060CC165" w:rsidR="00C726A8" w:rsidRDefault="00C726A8" w:rsidP="00C726A8">
      <w:pPr>
        <w:pStyle w:val="Heading2"/>
      </w:pPr>
      <w:bookmarkStart w:id="39" w:name="_Toc98921609"/>
      <w:r>
        <w:t>Combining Financing and Incentives</w:t>
      </w:r>
      <w:bookmarkEnd w:id="39"/>
    </w:p>
    <w:p w14:paraId="71A4E065" w14:textId="78E4B922" w:rsidR="00FD2EF1" w:rsidRPr="00FD2EF1" w:rsidRDefault="30AFC865" w:rsidP="727BFE15">
      <w:pPr>
        <w:rPr>
          <w:i/>
          <w:iCs/>
        </w:rPr>
      </w:pPr>
      <w:r w:rsidRPr="727BFE15">
        <w:rPr>
          <w:i/>
          <w:iCs/>
        </w:rPr>
        <w:t>From CPUC:</w:t>
      </w:r>
    </w:p>
    <w:p w14:paraId="31C4B822" w14:textId="77777777" w:rsidR="00FD2EF1" w:rsidRPr="00A17426" w:rsidRDefault="30AFC865" w:rsidP="00A17426">
      <w:pPr>
        <w:pStyle w:val="CommentText"/>
      </w:pPr>
      <w:r w:rsidRPr="00A17426">
        <w:t>How will IOU or non-IOU program incentives be delivered to customers? How will program incentives be coordinated with existing incentives offered through other clean energy financing programs?</w:t>
      </w:r>
    </w:p>
    <w:p w14:paraId="7DAA2E03" w14:textId="3AB22224" w:rsidR="00A7596B" w:rsidRDefault="30AFC865" w:rsidP="00B660BC">
      <w:r>
        <w:t>[</w:t>
      </w:r>
      <w:r w:rsidR="693A306A">
        <w:t>Program Sponsor</w:t>
      </w:r>
      <w:r>
        <w:t>]</w:t>
      </w:r>
      <w:r w:rsidR="693A306A">
        <w:t xml:space="preserve"> believes that c</w:t>
      </w:r>
      <w:r w:rsidR="5EFB99F6">
        <w:t xml:space="preserve">osts for achieving societal benefits should be allocated broadly across </w:t>
      </w:r>
      <w:r>
        <w:t>C</w:t>
      </w:r>
      <w:r w:rsidR="5EFB99F6">
        <w:t>ustomers</w:t>
      </w:r>
      <w:r w:rsidR="693A306A">
        <w:t xml:space="preserve">. </w:t>
      </w:r>
      <w:r w:rsidR="5CD62ACE">
        <w:t>This general principle is already</w:t>
      </w:r>
      <w:r w:rsidR="7BB5084E">
        <w:t xml:space="preserve"> enshrined in CPUC policy</w:t>
      </w:r>
      <w:r w:rsidR="6E946121">
        <w:t>—f</w:t>
      </w:r>
      <w:r w:rsidR="7BB5084E">
        <w:t>or example, in the method</w:t>
      </w:r>
      <w:r w:rsidR="6E946121">
        <w:t>s</w:t>
      </w:r>
      <w:r w:rsidR="7BB5084E">
        <w:t xml:space="preserve"> the Commission has adopted for linking ratepayer funding for energy efficiency investments to</w:t>
      </w:r>
      <w:r w:rsidR="60C45490">
        <w:t xml:space="preserve"> Total Systems Benefits, including grid benefits, GHG reductions, and related environmental benefits.</w:t>
      </w:r>
    </w:p>
    <w:p w14:paraId="3A37B70C" w14:textId="38CF7403" w:rsidR="008E26C0" w:rsidRDefault="7765710F" w:rsidP="008E26C0">
      <w:r>
        <w:t xml:space="preserve">In pursuit of this principle, the </w:t>
      </w:r>
      <w:r w:rsidR="6E946121">
        <w:t xml:space="preserve">Program </w:t>
      </w:r>
      <w:r>
        <w:t xml:space="preserve">will seek to maximize incentive contributions from TECH, energy efficiency programs, </w:t>
      </w:r>
      <w:r w:rsidR="00609EDB">
        <w:t>the S</w:t>
      </w:r>
      <w:r>
        <w:t>elf</w:t>
      </w:r>
      <w:r w:rsidR="6E946121">
        <w:t>-</w:t>
      </w:r>
      <w:r w:rsidR="00609EDB">
        <w:t>G</w:t>
      </w:r>
      <w:r w:rsidR="6E946121">
        <w:t>en</w:t>
      </w:r>
      <w:r>
        <w:t xml:space="preserve">eration </w:t>
      </w:r>
      <w:r w:rsidR="00609EDB">
        <w:t>I</w:t>
      </w:r>
      <w:r w:rsidR="6E946121">
        <w:t>ncentive</w:t>
      </w:r>
      <w:r>
        <w:t xml:space="preserve"> </w:t>
      </w:r>
      <w:r w:rsidR="00609EDB">
        <w:t>P</w:t>
      </w:r>
      <w:r>
        <w:t xml:space="preserve">rogram (SGIP), and other programs where applicable. The </w:t>
      </w:r>
      <w:r w:rsidR="00609EDB">
        <w:t xml:space="preserve">Program </w:t>
      </w:r>
      <w:r>
        <w:t xml:space="preserve">will also investigate opportunities to monetize load shifting and demand response opportunities. Because the Program Operator pays the </w:t>
      </w:r>
      <w:r w:rsidR="00609EDB">
        <w:t>C</w:t>
      </w:r>
      <w:r>
        <w:t>ontractor for installing the improvements, these incentives will need to be assignable to the Program Operator.</w:t>
      </w:r>
    </w:p>
    <w:p w14:paraId="220B6C21" w14:textId="4B543730" w:rsidR="001E4FAE" w:rsidRDefault="01C81381" w:rsidP="00B660BC">
      <w:r>
        <w:t>Building electrification offers the opportunity to produce societal benefits</w:t>
      </w:r>
      <w:r w:rsidR="00609EDB">
        <w:t xml:space="preserve">: </w:t>
      </w:r>
      <w:r w:rsidR="7D33DE2F">
        <w:t>GHG reductions, improved indoor and ambient air quality, and methane leakage reduc</w:t>
      </w:r>
      <w:r w:rsidR="5011493F">
        <w:t xml:space="preserve">tions, </w:t>
      </w:r>
      <w:r w:rsidR="7D33DE2F">
        <w:t>that are not already accounted for in the Avoided Cost Calculator</w:t>
      </w:r>
      <w:r w:rsidR="5011493F">
        <w:t xml:space="preserve">. The importance of these societal benefits is illustrated in </w:t>
      </w:r>
      <w:r w:rsidR="00609EDB" w:rsidRPr="727BFE15">
        <w:rPr>
          <w:b/>
          <w:bCs/>
        </w:rPr>
        <w:t xml:space="preserve">Figure 3, </w:t>
      </w:r>
      <w:r w:rsidR="5011493F">
        <w:t xml:space="preserve">from the </w:t>
      </w:r>
      <w:r w:rsidR="11C3A865" w:rsidRPr="727BFE15">
        <w:rPr>
          <w:i/>
          <w:iCs/>
        </w:rPr>
        <w:t>Societal Cost Test Impact Evaluation</w:t>
      </w:r>
      <w:r w:rsidR="11C3A865">
        <w:t xml:space="preserve"> (2022), which shows that the </w:t>
      </w:r>
      <w:r w:rsidR="2AE8BFAA">
        <w:t xml:space="preserve">net present </w:t>
      </w:r>
      <w:r w:rsidR="11C3A865">
        <w:t>value of the societal benefits</w:t>
      </w:r>
      <w:r w:rsidR="2AE8BFAA">
        <w:t xml:space="preserve"> from electrifying a single-family home greatly outweigh the benefits that are accounted for in the Total Resource Cost Test.</w:t>
      </w:r>
    </w:p>
    <w:p w14:paraId="750BFA56" w14:textId="34258017" w:rsidR="006167B1" w:rsidRDefault="008F2366" w:rsidP="00B660BC">
      <w:r>
        <w:rPr>
          <w:noProof/>
        </w:rPr>
        <w:drawing>
          <wp:inline distT="0" distB="0" distL="0" distR="0" wp14:anchorId="1DAFBE8F" wp14:editId="5BC340EB">
            <wp:extent cx="5657505" cy="2589581"/>
            <wp:effectExtent l="0" t="0" r="635" b="1270"/>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rotWithShape="1">
                    <a:blip r:embed="rId15"/>
                    <a:srcRect l="25214" t="15955" r="22757" b="41706"/>
                    <a:stretch/>
                  </pic:blipFill>
                  <pic:spPr bwMode="auto">
                    <a:xfrm>
                      <a:off x="0" y="0"/>
                      <a:ext cx="5668198" cy="2594476"/>
                    </a:xfrm>
                    <a:prstGeom prst="rect">
                      <a:avLst/>
                    </a:prstGeom>
                    <a:ln>
                      <a:noFill/>
                    </a:ln>
                    <a:extLst>
                      <a:ext uri="{53640926-AAD7-44D8-BBD7-CCE9431645EC}">
                        <a14:shadowObscured xmlns:a14="http://schemas.microsoft.com/office/drawing/2010/main"/>
                      </a:ext>
                    </a:extLst>
                  </pic:spPr>
                </pic:pic>
              </a:graphicData>
            </a:graphic>
          </wp:inline>
        </w:drawing>
      </w:r>
    </w:p>
    <w:p w14:paraId="4462D1B6" w14:textId="1B1C580E" w:rsidR="00BF062F" w:rsidRPr="00A34A2E" w:rsidRDefault="63C89B3E" w:rsidP="00BF062F">
      <w:pPr>
        <w:pStyle w:val="FigureCaption"/>
        <w:rPr>
          <w:b w:val="0"/>
          <w:bCs w:val="0"/>
        </w:rPr>
      </w:pPr>
      <w:r w:rsidRPr="727BFE15">
        <w:rPr>
          <w:b w:val="0"/>
          <w:bCs w:val="0"/>
          <w:i/>
          <w:iCs/>
        </w:rPr>
        <w:t>Source:</w:t>
      </w:r>
      <w:r w:rsidR="3C975DBA" w:rsidRPr="727BFE15">
        <w:rPr>
          <w:b w:val="0"/>
          <w:bCs w:val="0"/>
          <w:i/>
          <w:iCs/>
        </w:rPr>
        <w:t xml:space="preserve"> </w:t>
      </w:r>
      <w:r w:rsidR="10EF60EC">
        <w:rPr>
          <w:b w:val="0"/>
          <w:bCs w:val="0"/>
        </w:rPr>
        <w:t>CPUC</w:t>
      </w:r>
      <w:r w:rsidR="6F526692">
        <w:rPr>
          <w:b w:val="0"/>
          <w:bCs w:val="0"/>
        </w:rPr>
        <w:t>.</w:t>
      </w:r>
      <w:r w:rsidR="00260F7D">
        <w:rPr>
          <w:rStyle w:val="FootnoteReference"/>
          <w:b w:val="0"/>
          <w:bCs w:val="0"/>
        </w:rPr>
        <w:footnoteReference w:id="42"/>
      </w:r>
      <w:r w:rsidR="3C975DBA">
        <w:rPr>
          <w:b w:val="0"/>
          <w:bCs w:val="0"/>
        </w:rPr>
        <w:t xml:space="preserve"> </w:t>
      </w:r>
    </w:p>
    <w:p w14:paraId="6E507F7C" w14:textId="7C437EC2" w:rsidR="00BF062F" w:rsidRPr="00BF062F" w:rsidRDefault="63C89B3E" w:rsidP="727BFE15">
      <w:pPr>
        <w:pStyle w:val="FigureCaption"/>
      </w:pPr>
      <w:r>
        <w:t xml:space="preserve">Figure 3. Cost effectiveness of a sample building electrification measure under a Total Resource Cost scenario, versus the “Core” and “High SCC” Societal Cost Test scenarios. </w:t>
      </w:r>
    </w:p>
    <w:p w14:paraId="241CEE7E" w14:textId="01E4B03F" w:rsidR="00C52D69" w:rsidRDefault="6F526692" w:rsidP="00B660BC">
      <w:r>
        <w:t>[</w:t>
      </w:r>
      <w:r w:rsidR="3C0223FB">
        <w:t>Program Sponsor</w:t>
      </w:r>
      <w:r>
        <w:t>]</w:t>
      </w:r>
      <w:r w:rsidR="3C0223FB">
        <w:t xml:space="preserve"> advocates that</w:t>
      </w:r>
      <w:r w:rsidR="653ECAF6">
        <w:t xml:space="preserve"> </w:t>
      </w:r>
      <w:r>
        <w:t>S</w:t>
      </w:r>
      <w:r w:rsidR="653ECAF6">
        <w:t>tate policy</w:t>
      </w:r>
      <w:r>
        <w:t xml:space="preserve"> </w:t>
      </w:r>
      <w:r w:rsidR="2072CDC0">
        <w:t>makers continue to apply this principle to address remaining gaps</w:t>
      </w:r>
      <w:r>
        <w:t>, such as</w:t>
      </w:r>
      <w:r w:rsidR="2072CDC0">
        <w:t>:</w:t>
      </w:r>
    </w:p>
    <w:p w14:paraId="4AEADD11" w14:textId="19339254" w:rsidR="00D525CC" w:rsidRDefault="00D525CC" w:rsidP="006907F8">
      <w:pPr>
        <w:pStyle w:val="ListParagraph"/>
        <w:numPr>
          <w:ilvl w:val="0"/>
          <w:numId w:val="39"/>
        </w:numPr>
      </w:pPr>
      <w:r>
        <w:t>Either ratepayer funding, taxpayer funding, or both should be allocated to</w:t>
      </w:r>
      <w:r w:rsidR="004A79DE">
        <w:t xml:space="preserve"> address the societal </w:t>
      </w:r>
      <w:r w:rsidR="001E4FAE">
        <w:t>benefits</w:t>
      </w:r>
      <w:r w:rsidR="00AB3825">
        <w:t xml:space="preserve"> not accounted for in the Avoided Cost Calculator.</w:t>
      </w:r>
    </w:p>
    <w:p w14:paraId="753F07D8" w14:textId="3971DCBF" w:rsidR="003C5CB0" w:rsidRDefault="315A070B" w:rsidP="006907F8">
      <w:pPr>
        <w:pStyle w:val="ListParagraph"/>
        <w:numPr>
          <w:ilvl w:val="0"/>
          <w:numId w:val="39"/>
        </w:numPr>
      </w:pPr>
      <w:r>
        <w:t>Supplement</w:t>
      </w:r>
      <w:r w:rsidR="6F526692">
        <w:t>al</w:t>
      </w:r>
      <w:r>
        <w:t xml:space="preserve"> p</w:t>
      </w:r>
      <w:r w:rsidR="4C756CE4">
        <w:t>ublic funds are needed</w:t>
      </w:r>
      <w:r w:rsidR="49F26FB0">
        <w:t xml:space="preserve"> to address</w:t>
      </w:r>
      <w:r w:rsidR="76F23E5A">
        <w:t xml:space="preserve"> maintenance issues in </w:t>
      </w:r>
      <w:r w:rsidR="22407D16">
        <w:t xml:space="preserve">low-income </w:t>
      </w:r>
      <w:r w:rsidR="6F526692">
        <w:t>C</w:t>
      </w:r>
      <w:r w:rsidR="76F23E5A">
        <w:t>ustomer homes</w:t>
      </w:r>
      <w:r w:rsidR="02FE8892">
        <w:t xml:space="preserve">; these issues </w:t>
      </w:r>
      <w:r w:rsidR="7A06F450">
        <w:t>(</w:t>
      </w:r>
      <w:r w:rsidR="02FE8892">
        <w:t xml:space="preserve">for example, </w:t>
      </w:r>
      <w:r w:rsidR="7A06F450">
        <w:t xml:space="preserve">mold and mildew, asbestos, </w:t>
      </w:r>
      <w:r w:rsidR="112AAAB8">
        <w:t>substandard electrical wiring,</w:t>
      </w:r>
      <w:r w:rsidR="40FFA22B">
        <w:t xml:space="preserve"> </w:t>
      </w:r>
      <w:r w:rsidR="02FE8892">
        <w:t xml:space="preserve">or </w:t>
      </w:r>
      <w:r w:rsidR="40FFA22B">
        <w:t>water leaks</w:t>
      </w:r>
      <w:r w:rsidR="112AAAB8">
        <w:t>)</w:t>
      </w:r>
      <w:r w:rsidR="02FE8892">
        <w:t xml:space="preserve"> could preclude clean-energy investments</w:t>
      </w:r>
      <w:r w:rsidR="22407D16">
        <w:t xml:space="preserve">. </w:t>
      </w:r>
      <w:r>
        <w:t>Remedying these issues not only</w:t>
      </w:r>
      <w:r w:rsidR="35D29DF4">
        <w:t xml:space="preserve"> puts the </w:t>
      </w:r>
      <w:r w:rsidR="02FE8892">
        <w:t>C</w:t>
      </w:r>
      <w:r w:rsidR="35D29DF4">
        <w:t xml:space="preserve">ustomer on a path to lower utility bills and reduced environmental </w:t>
      </w:r>
      <w:r w:rsidR="00915C02">
        <w:t xml:space="preserve">impacts, </w:t>
      </w:r>
      <w:r w:rsidR="3377A771">
        <w:t xml:space="preserve">but also </w:t>
      </w:r>
      <w:r w:rsidR="7A06F450">
        <w:t>improves public</w:t>
      </w:r>
      <w:r w:rsidR="6B6B7E67">
        <w:t xml:space="preserve"> health and safety outcomes and helps retain vital affordable housing units.</w:t>
      </w:r>
    </w:p>
    <w:p w14:paraId="7A3BDEEF" w14:textId="59572B8F" w:rsidR="00065828" w:rsidRDefault="02C2A148" w:rsidP="006907F8">
      <w:pPr>
        <w:pStyle w:val="ListParagraph"/>
        <w:numPr>
          <w:ilvl w:val="0"/>
          <w:numId w:val="39"/>
        </w:numPr>
      </w:pPr>
      <w:r>
        <w:t>Health care</w:t>
      </w:r>
      <w:r w:rsidR="7C967C80">
        <w:t xml:space="preserve"> revenues should be earmarked to support home upgrades that improve indoor environmental quality and occupant health outcomes</w:t>
      </w:r>
      <w:r w:rsidR="5E5EB532">
        <w:t>.</w:t>
      </w:r>
      <w:r w:rsidR="69593340">
        <w:t xml:space="preserve"> Additional public funds</w:t>
      </w:r>
      <w:r w:rsidR="29F9D57C">
        <w:t xml:space="preserve"> should be allocated to capture benefits from </w:t>
      </w:r>
      <w:r w:rsidR="3377A771">
        <w:t xml:space="preserve">ambient air quality </w:t>
      </w:r>
      <w:r w:rsidR="29F9D57C">
        <w:t xml:space="preserve">improvements that are not fully reflected in </w:t>
      </w:r>
      <w:r w:rsidR="0875F195">
        <w:t>the Avoided Cost Calculator.</w:t>
      </w:r>
    </w:p>
    <w:p w14:paraId="2C6C102A" w14:textId="388600B9" w:rsidR="00BA5334" w:rsidRDefault="19B8A435" w:rsidP="006907F8">
      <w:pPr>
        <w:pStyle w:val="ListParagraph"/>
        <w:numPr>
          <w:ilvl w:val="0"/>
          <w:numId w:val="39"/>
        </w:numPr>
      </w:pPr>
      <w:r>
        <w:t>High</w:t>
      </w:r>
      <w:r w:rsidR="3377A771">
        <w:t>-</w:t>
      </w:r>
      <w:r>
        <w:t>road workforce requirements</w:t>
      </w:r>
      <w:r w:rsidR="21F13A31">
        <w:t xml:space="preserve"> are an important tactic for expanding </w:t>
      </w:r>
      <w:r w:rsidR="3377A771">
        <w:t>high-</w:t>
      </w:r>
      <w:r w:rsidR="21F13A31">
        <w:t>quality employment opportunities and</w:t>
      </w:r>
      <w:r w:rsidR="1A349AE9">
        <w:t xml:space="preserve"> economic development in disadvantaged communities.</w:t>
      </w:r>
      <w:r>
        <w:t xml:space="preserve"> Any incremental project costs associated with</w:t>
      </w:r>
      <w:r w:rsidR="3FA30272">
        <w:t xml:space="preserve"> these requirements should thus be </w:t>
      </w:r>
      <w:r w:rsidR="27604B64">
        <w:t>publicly funded</w:t>
      </w:r>
      <w:r w:rsidR="3377A771">
        <w:t>,</w:t>
      </w:r>
      <w:r w:rsidR="27604B64">
        <w:t xml:space="preserve"> rather than passed through to participants.</w:t>
      </w:r>
    </w:p>
    <w:p w14:paraId="5288995F" w14:textId="77FF2D35" w:rsidR="000E0285" w:rsidRDefault="76CEEC50" w:rsidP="00B660BC">
      <w:r>
        <w:t xml:space="preserve">The </w:t>
      </w:r>
      <w:r w:rsidR="53977921">
        <w:t>Program</w:t>
      </w:r>
      <w:r>
        <w:t xml:space="preserve"> will adhere to the Commission’s four guiding principles for incentive layering</w:t>
      </w:r>
      <w:r w:rsidR="300E3624">
        <w:t>,</w:t>
      </w:r>
      <w:r w:rsidR="707173D2">
        <w:t xml:space="preserve"> as articulated in</w:t>
      </w:r>
      <w:r w:rsidR="7A3609CD">
        <w:t xml:space="preserve"> D.21-11-002, issued on November 9, 2021</w:t>
      </w:r>
      <w:r>
        <w:t>:</w:t>
      </w:r>
    </w:p>
    <w:p w14:paraId="45CF345A" w14:textId="2C70F5E1" w:rsidR="000E0285" w:rsidRPr="002802B3" w:rsidRDefault="52A9731D" w:rsidP="727BFE15">
      <w:pPr>
        <w:pStyle w:val="ListParagraph"/>
        <w:numPr>
          <w:ilvl w:val="0"/>
          <w:numId w:val="33"/>
        </w:numPr>
        <w:ind w:left="1440" w:right="720"/>
        <w:rPr>
          <w:sz w:val="20"/>
          <w:szCs w:val="20"/>
        </w:rPr>
      </w:pPr>
      <w:r w:rsidRPr="727BFE15">
        <w:rPr>
          <w:sz w:val="20"/>
          <w:szCs w:val="20"/>
        </w:rPr>
        <w:t>Ease of participation</w:t>
      </w:r>
    </w:p>
    <w:p w14:paraId="04958DA3" w14:textId="43892875" w:rsidR="00705BD8" w:rsidRPr="002802B3" w:rsidRDefault="564596A0" w:rsidP="727BFE15">
      <w:pPr>
        <w:pStyle w:val="ListParagraph"/>
        <w:numPr>
          <w:ilvl w:val="2"/>
          <w:numId w:val="43"/>
        </w:numPr>
        <w:ind w:left="1440" w:right="720"/>
        <w:rPr>
          <w:sz w:val="20"/>
          <w:szCs w:val="20"/>
        </w:rPr>
      </w:pPr>
      <w:r w:rsidRPr="727BFE15">
        <w:rPr>
          <w:sz w:val="20"/>
          <w:szCs w:val="20"/>
        </w:rPr>
        <w:t>Eligibility for single-family residential customers will be nearly universal, subject only to financial feasibility constraints.</w:t>
      </w:r>
      <w:r w:rsidR="4FFA4A9D" w:rsidRPr="727BFE15">
        <w:rPr>
          <w:sz w:val="20"/>
          <w:szCs w:val="20"/>
        </w:rPr>
        <w:t xml:space="preserve"> Program equity goals will be addressed through affirmative outreach and recruitment, rather than eligibility means testing.</w:t>
      </w:r>
      <w:r w:rsidR="07F440FA" w:rsidRPr="727BFE15">
        <w:rPr>
          <w:sz w:val="20"/>
          <w:szCs w:val="20"/>
        </w:rPr>
        <w:t xml:space="preserve"> Eligibility will not be conditional upon participation (or non-participation) in another program.</w:t>
      </w:r>
      <w:r w:rsidR="4EF4A53F" w:rsidRPr="727BFE15">
        <w:rPr>
          <w:sz w:val="20"/>
          <w:szCs w:val="20"/>
        </w:rPr>
        <w:t xml:space="preserve"> Project financial </w:t>
      </w:r>
      <w:r w:rsidR="174549B2" w:rsidRPr="727BFE15">
        <w:rPr>
          <w:sz w:val="20"/>
          <w:szCs w:val="20"/>
        </w:rPr>
        <w:t>feasibility analysis will consider all incentive programs for which the customer is eligible.</w:t>
      </w:r>
    </w:p>
    <w:p w14:paraId="57545BE0" w14:textId="7B4DD076" w:rsidR="00301190" w:rsidRPr="002802B3" w:rsidRDefault="65B2EDE0" w:rsidP="727BFE15">
      <w:pPr>
        <w:pStyle w:val="ListParagraph"/>
        <w:numPr>
          <w:ilvl w:val="2"/>
          <w:numId w:val="43"/>
        </w:numPr>
        <w:ind w:left="1440" w:right="720"/>
        <w:rPr>
          <w:sz w:val="20"/>
          <w:szCs w:val="20"/>
        </w:rPr>
      </w:pPr>
      <w:r w:rsidRPr="727BFE15">
        <w:rPr>
          <w:sz w:val="20"/>
          <w:szCs w:val="20"/>
        </w:rPr>
        <w:t xml:space="preserve">Whenever possible, supporting </w:t>
      </w:r>
      <w:r w:rsidR="1C35ED6A" w:rsidRPr="727BFE15">
        <w:rPr>
          <w:sz w:val="20"/>
          <w:szCs w:val="20"/>
        </w:rPr>
        <w:t>financial incentives will be assigned</w:t>
      </w:r>
      <w:r w:rsidR="5FFCBD53" w:rsidRPr="727BFE15">
        <w:rPr>
          <w:sz w:val="20"/>
          <w:szCs w:val="20"/>
        </w:rPr>
        <w:t xml:space="preserve"> to the Program Operator to enable a turn-key installation with no out-of-pocket costs to the participating customer. </w:t>
      </w:r>
    </w:p>
    <w:p w14:paraId="7053F968" w14:textId="16AC1AD1" w:rsidR="000E0285" w:rsidRPr="002802B3" w:rsidRDefault="52A9731D" w:rsidP="727BFE15">
      <w:pPr>
        <w:pStyle w:val="ListParagraph"/>
        <w:numPr>
          <w:ilvl w:val="0"/>
          <w:numId w:val="33"/>
        </w:numPr>
        <w:ind w:left="1440" w:right="720"/>
        <w:rPr>
          <w:sz w:val="20"/>
          <w:szCs w:val="20"/>
        </w:rPr>
      </w:pPr>
      <w:r w:rsidRPr="727BFE15">
        <w:rPr>
          <w:sz w:val="20"/>
          <w:szCs w:val="20"/>
        </w:rPr>
        <w:t>Complementary incentives</w:t>
      </w:r>
    </w:p>
    <w:p w14:paraId="638D87A9" w14:textId="07DE27D6" w:rsidR="00C467C1" w:rsidRPr="002802B3" w:rsidRDefault="1690B515" w:rsidP="727BFE15">
      <w:pPr>
        <w:pStyle w:val="ListParagraph"/>
        <w:numPr>
          <w:ilvl w:val="2"/>
          <w:numId w:val="44"/>
        </w:numPr>
        <w:ind w:left="1440" w:right="720"/>
        <w:rPr>
          <w:sz w:val="20"/>
          <w:szCs w:val="20"/>
        </w:rPr>
      </w:pPr>
      <w:r w:rsidRPr="727BFE15">
        <w:rPr>
          <w:sz w:val="20"/>
          <w:szCs w:val="20"/>
        </w:rPr>
        <w:t>For owner-occupied homes, a</w:t>
      </w:r>
      <w:r w:rsidR="390D7410" w:rsidRPr="727BFE15">
        <w:rPr>
          <w:sz w:val="20"/>
          <w:szCs w:val="20"/>
        </w:rPr>
        <w:t xml:space="preserve">ll available incentives will first be applied to </w:t>
      </w:r>
      <w:r w:rsidR="2C1132F7" w:rsidRPr="727BFE15">
        <w:rPr>
          <w:sz w:val="20"/>
          <w:szCs w:val="20"/>
        </w:rPr>
        <w:t>reduce or eliminate the customer’s copay requirement.</w:t>
      </w:r>
      <w:r w:rsidR="2D5B9463" w:rsidRPr="727BFE15">
        <w:rPr>
          <w:sz w:val="20"/>
          <w:szCs w:val="20"/>
        </w:rPr>
        <w:t xml:space="preserve"> Any additional available incentives will then be applied to reduce the TOB</w:t>
      </w:r>
      <w:r w:rsidR="7B5AEC79" w:rsidRPr="727BFE15">
        <w:rPr>
          <w:sz w:val="20"/>
          <w:szCs w:val="20"/>
        </w:rPr>
        <w:t xml:space="preserve"> investment requirement.</w:t>
      </w:r>
      <w:r w:rsidR="2C1132F7" w:rsidRPr="727BFE15">
        <w:rPr>
          <w:sz w:val="20"/>
          <w:szCs w:val="20"/>
        </w:rPr>
        <w:t xml:space="preserve"> </w:t>
      </w:r>
      <w:r w:rsidR="32CD25A3" w:rsidRPr="727BFE15">
        <w:rPr>
          <w:sz w:val="20"/>
          <w:szCs w:val="20"/>
        </w:rPr>
        <w:t>A</w:t>
      </w:r>
      <w:r w:rsidR="1FB8EEE3" w:rsidRPr="727BFE15">
        <w:rPr>
          <w:sz w:val="20"/>
          <w:szCs w:val="20"/>
        </w:rPr>
        <w:t xml:space="preserve"> Tariffed On-Bill charge will only be applied to the balance and only if it meets the program’s cash positive </w:t>
      </w:r>
      <w:r w:rsidR="31B3F4FE" w:rsidRPr="727BFE15">
        <w:rPr>
          <w:sz w:val="20"/>
          <w:szCs w:val="20"/>
        </w:rPr>
        <w:t>requirements.</w:t>
      </w:r>
    </w:p>
    <w:p w14:paraId="648069F6" w14:textId="28CA26FE" w:rsidR="00B50D0E" w:rsidRPr="002802B3" w:rsidRDefault="395CCC99" w:rsidP="727BFE15">
      <w:pPr>
        <w:pStyle w:val="ListParagraph"/>
        <w:numPr>
          <w:ilvl w:val="2"/>
          <w:numId w:val="44"/>
        </w:numPr>
        <w:ind w:left="1440" w:right="720"/>
        <w:rPr>
          <w:sz w:val="20"/>
          <w:szCs w:val="20"/>
        </w:rPr>
      </w:pPr>
      <w:r w:rsidRPr="727BFE15">
        <w:rPr>
          <w:sz w:val="20"/>
          <w:szCs w:val="20"/>
        </w:rPr>
        <w:t xml:space="preserve">For tenant-occupied homes, </w:t>
      </w:r>
      <w:r w:rsidR="64E2F62C" w:rsidRPr="727BFE15">
        <w:rPr>
          <w:sz w:val="20"/>
          <w:szCs w:val="20"/>
        </w:rPr>
        <w:t>in</w:t>
      </w:r>
      <w:r w:rsidR="0B0C682B" w:rsidRPr="727BFE15">
        <w:rPr>
          <w:sz w:val="20"/>
          <w:szCs w:val="20"/>
        </w:rPr>
        <w:t>centives will be applied to offset project installation costs in a manner that</w:t>
      </w:r>
      <w:r w:rsidR="6149BE59" w:rsidRPr="727BFE15">
        <w:rPr>
          <w:sz w:val="20"/>
          <w:szCs w:val="20"/>
        </w:rPr>
        <w:t xml:space="preserve"> adheres to the principle that the landlord</w:t>
      </w:r>
      <w:r w:rsidR="75CE0A0C" w:rsidRPr="727BFE15">
        <w:rPr>
          <w:sz w:val="20"/>
          <w:szCs w:val="20"/>
        </w:rPr>
        <w:t xml:space="preserve"> has fiduciary responsibility to cover the like-for-like replacement costs</w:t>
      </w:r>
      <w:r w:rsidR="6CEB77E2" w:rsidRPr="727BFE15">
        <w:rPr>
          <w:sz w:val="20"/>
          <w:szCs w:val="20"/>
        </w:rPr>
        <w:t xml:space="preserve"> for space conditioning and domestic hot water, w</w:t>
      </w:r>
      <w:r w:rsidR="66D2D468" w:rsidRPr="727BFE15">
        <w:rPr>
          <w:sz w:val="20"/>
          <w:szCs w:val="20"/>
        </w:rPr>
        <w:t xml:space="preserve">hile the tenant’s financial responsibility is limited to the </w:t>
      </w:r>
      <w:r w:rsidR="7328A5BD" w:rsidRPr="727BFE15">
        <w:rPr>
          <w:sz w:val="20"/>
          <w:szCs w:val="20"/>
        </w:rPr>
        <w:t>incremental costs for the clean energy upgrade.</w:t>
      </w:r>
    </w:p>
    <w:p w14:paraId="281A9274" w14:textId="783518EE" w:rsidR="000E0285" w:rsidRPr="002802B3" w:rsidRDefault="52A9731D" w:rsidP="727BFE15">
      <w:pPr>
        <w:pStyle w:val="ListParagraph"/>
        <w:numPr>
          <w:ilvl w:val="0"/>
          <w:numId w:val="33"/>
        </w:numPr>
        <w:ind w:left="1440" w:right="720"/>
        <w:rPr>
          <w:sz w:val="20"/>
          <w:szCs w:val="20"/>
        </w:rPr>
      </w:pPr>
      <w:r w:rsidRPr="727BFE15">
        <w:rPr>
          <w:sz w:val="20"/>
          <w:szCs w:val="20"/>
        </w:rPr>
        <w:t>Non-duplicative attribution of program benefits</w:t>
      </w:r>
    </w:p>
    <w:p w14:paraId="280A581A" w14:textId="1A6E111A" w:rsidR="00CD230E" w:rsidRPr="002802B3" w:rsidRDefault="703240F3" w:rsidP="727BFE15">
      <w:pPr>
        <w:pStyle w:val="ListParagraph"/>
        <w:numPr>
          <w:ilvl w:val="2"/>
          <w:numId w:val="45"/>
        </w:numPr>
        <w:ind w:left="1440" w:right="720"/>
        <w:rPr>
          <w:sz w:val="20"/>
          <w:szCs w:val="20"/>
        </w:rPr>
      </w:pPr>
      <w:r w:rsidRPr="727BFE15">
        <w:rPr>
          <w:sz w:val="20"/>
          <w:szCs w:val="20"/>
        </w:rPr>
        <w:t>Total Systems Benefits will be attribute</w:t>
      </w:r>
      <w:r w:rsidR="42C20FE2" w:rsidRPr="727BFE15">
        <w:rPr>
          <w:sz w:val="20"/>
          <w:szCs w:val="20"/>
        </w:rPr>
        <w:t>d</w:t>
      </w:r>
      <w:r w:rsidRPr="727BFE15">
        <w:rPr>
          <w:sz w:val="20"/>
          <w:szCs w:val="20"/>
        </w:rPr>
        <w:t xml:space="preserve"> preferentially to</w:t>
      </w:r>
      <w:r w:rsidR="52FB958F" w:rsidRPr="727BFE15">
        <w:rPr>
          <w:sz w:val="20"/>
          <w:szCs w:val="20"/>
        </w:rPr>
        <w:t xml:space="preserve"> any energy efficiency program that provides incentives</w:t>
      </w:r>
    </w:p>
    <w:p w14:paraId="538FC8A3" w14:textId="60909F4B" w:rsidR="00524636" w:rsidRPr="002802B3" w:rsidRDefault="42C20FE2" w:rsidP="727BFE15">
      <w:pPr>
        <w:pStyle w:val="ListParagraph"/>
        <w:numPr>
          <w:ilvl w:val="2"/>
          <w:numId w:val="45"/>
        </w:numPr>
        <w:ind w:left="1440" w:right="720"/>
        <w:rPr>
          <w:sz w:val="20"/>
          <w:szCs w:val="20"/>
        </w:rPr>
      </w:pPr>
      <w:r w:rsidRPr="727BFE15">
        <w:rPr>
          <w:sz w:val="20"/>
          <w:szCs w:val="20"/>
        </w:rPr>
        <w:t xml:space="preserve">GHG benefits will be attributed to the </w:t>
      </w:r>
      <w:r w:rsidR="19D9C376" w:rsidRPr="727BFE15">
        <w:rPr>
          <w:sz w:val="20"/>
          <w:szCs w:val="20"/>
        </w:rPr>
        <w:t>P</w:t>
      </w:r>
      <w:r w:rsidRPr="727BFE15">
        <w:rPr>
          <w:sz w:val="20"/>
          <w:szCs w:val="20"/>
        </w:rPr>
        <w:t>rogram</w:t>
      </w:r>
    </w:p>
    <w:p w14:paraId="579EC177" w14:textId="0474279E" w:rsidR="000E0285" w:rsidRDefault="52A9731D" w:rsidP="002802B3">
      <w:pPr>
        <w:pStyle w:val="ListParagraph"/>
        <w:numPr>
          <w:ilvl w:val="0"/>
          <w:numId w:val="33"/>
        </w:numPr>
        <w:ind w:left="1440" w:right="720"/>
        <w:rPr>
          <w:sz w:val="20"/>
          <w:szCs w:val="20"/>
        </w:rPr>
      </w:pPr>
      <w:r w:rsidRPr="727BFE15">
        <w:rPr>
          <w:sz w:val="20"/>
          <w:szCs w:val="20"/>
        </w:rPr>
        <w:t>Ongoing coordination between program administrators and implementers</w:t>
      </w:r>
    </w:p>
    <w:p w14:paraId="4BE7C1DE" w14:textId="77777777" w:rsidR="00022AB9" w:rsidRDefault="00022AB9" w:rsidP="00EF7D00">
      <w:pPr>
        <w:pStyle w:val="Heading1"/>
      </w:pPr>
      <w:bookmarkStart w:id="40" w:name="_Toc98921610"/>
      <w:r>
        <w:t>Part IV: Costs and Benefits</w:t>
      </w:r>
      <w:bookmarkEnd w:id="40"/>
    </w:p>
    <w:p w14:paraId="15054D19" w14:textId="18E1ECFA" w:rsidR="00022AB9" w:rsidRDefault="004F157A" w:rsidP="004F157A">
      <w:pPr>
        <w:pStyle w:val="Heading2"/>
      </w:pPr>
      <w:bookmarkStart w:id="41" w:name="_Toc98921611"/>
      <w:r>
        <w:t>Program Budget</w:t>
      </w:r>
      <w:bookmarkEnd w:id="41"/>
    </w:p>
    <w:p w14:paraId="270BA161" w14:textId="77777777" w:rsidR="00ED31C9" w:rsidRPr="00ED31C9" w:rsidRDefault="5B466A8B" w:rsidP="727BFE15">
      <w:pPr>
        <w:rPr>
          <w:i/>
          <w:iCs/>
        </w:rPr>
      </w:pPr>
      <w:r w:rsidRPr="727BFE15">
        <w:rPr>
          <w:i/>
          <w:iCs/>
        </w:rPr>
        <w:t>From the CPUC:</w:t>
      </w:r>
    </w:p>
    <w:p w14:paraId="30411882" w14:textId="343D1998" w:rsidR="00ED31C9" w:rsidRPr="00ED31C9" w:rsidRDefault="5B466A8B" w:rsidP="727BFE15">
      <w:pPr>
        <w:rPr>
          <w:i/>
          <w:iCs/>
        </w:rPr>
      </w:pPr>
      <w:r w:rsidRPr="727BFE15">
        <w:rPr>
          <w:i/>
          <w:iCs/>
        </w:rPr>
        <w:t>What is the estimated budget for this program, broken down by estimated percentage and amount of rate-payer funds (including funding category, such as public purpose charge, distribution rates, generation rates), private capital, state, federal funds (e.g., DOE), IOU shareholder, public or private bonds, or other sources?</w:t>
      </w:r>
    </w:p>
    <w:p w14:paraId="23761FA5" w14:textId="77777777" w:rsidR="00ED31C9" w:rsidRDefault="00ED31C9" w:rsidP="000F0F42"/>
    <w:p w14:paraId="2E4CE40D" w14:textId="476218CF" w:rsidR="000F0F42" w:rsidRDefault="20C9BF52" w:rsidP="000F0F42">
      <w:r>
        <w:t xml:space="preserve">An itemized </w:t>
      </w:r>
      <w:r w:rsidR="018FF83C">
        <w:t>P</w:t>
      </w:r>
      <w:r>
        <w:t>rogram budget</w:t>
      </w:r>
      <w:r w:rsidR="20D124E0">
        <w:t xml:space="preserve">, including capital requirements, start-up, risk mitigation, and operating requirements, is shown in </w:t>
      </w:r>
      <w:r w:rsidR="20D124E0" w:rsidRPr="727BFE15">
        <w:rPr>
          <w:b/>
          <w:bCs/>
        </w:rPr>
        <w:t xml:space="preserve">Table </w:t>
      </w:r>
      <w:r w:rsidR="784EE474" w:rsidRPr="727BFE15">
        <w:rPr>
          <w:b/>
          <w:bCs/>
        </w:rPr>
        <w:t>1</w:t>
      </w:r>
      <w:r w:rsidR="018FF83C" w:rsidRPr="727BFE15">
        <w:rPr>
          <w:b/>
          <w:bCs/>
        </w:rPr>
        <w:t>3</w:t>
      </w:r>
      <w:r w:rsidR="20D124E0" w:rsidRPr="727BFE15">
        <w:rPr>
          <w:b/>
          <w:bCs/>
        </w:rPr>
        <w:t>.</w:t>
      </w:r>
    </w:p>
    <w:p w14:paraId="4644B10F" w14:textId="2D394088" w:rsidR="009B57A5" w:rsidRPr="003C6304" w:rsidRDefault="20D124E0" w:rsidP="727BFE15">
      <w:pPr>
        <w:rPr>
          <w:b/>
          <w:bCs/>
        </w:rPr>
      </w:pPr>
      <w:r w:rsidRPr="727BFE15">
        <w:rPr>
          <w:b/>
          <w:bCs/>
        </w:rPr>
        <w:t xml:space="preserve">Table </w:t>
      </w:r>
      <w:r w:rsidR="784EE474" w:rsidRPr="727BFE15">
        <w:rPr>
          <w:b/>
          <w:bCs/>
        </w:rPr>
        <w:t>1</w:t>
      </w:r>
      <w:r w:rsidR="018FF83C" w:rsidRPr="727BFE15">
        <w:rPr>
          <w:b/>
          <w:bCs/>
        </w:rPr>
        <w:t>3</w:t>
      </w:r>
      <w:r w:rsidRPr="727BFE15">
        <w:rPr>
          <w:b/>
          <w:bCs/>
        </w:rPr>
        <w:t>.</w:t>
      </w:r>
      <w:r w:rsidR="06C43D27" w:rsidRPr="727BFE15">
        <w:rPr>
          <w:b/>
          <w:bCs/>
        </w:rPr>
        <w:t xml:space="preserve"> Program </w:t>
      </w:r>
      <w:r w:rsidR="018FF83C" w:rsidRPr="727BFE15">
        <w:rPr>
          <w:b/>
          <w:bCs/>
        </w:rPr>
        <w:t>b</w:t>
      </w:r>
      <w:r w:rsidR="06C43D27" w:rsidRPr="727BFE15">
        <w:rPr>
          <w:b/>
          <w:bCs/>
        </w:rPr>
        <w:t>udget</w:t>
      </w:r>
    </w:p>
    <w:tbl>
      <w:tblPr>
        <w:tblStyle w:val="GridTable4-Accent1"/>
        <w:tblW w:w="10274" w:type="dxa"/>
        <w:tblLook w:val="04A0" w:firstRow="1" w:lastRow="0" w:firstColumn="1" w:lastColumn="0" w:noHBand="0" w:noVBand="1"/>
      </w:tblPr>
      <w:tblGrid>
        <w:gridCol w:w="2695"/>
        <w:gridCol w:w="5939"/>
        <w:gridCol w:w="1640"/>
      </w:tblGrid>
      <w:tr w:rsidR="003D659B" w:rsidRPr="00442DC5" w14:paraId="677C1A43" w14:textId="77777777" w:rsidTr="00E3148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tcPr>
          <w:p w14:paraId="420185D9" w14:textId="0FC286BC" w:rsidR="003D659B" w:rsidRPr="00442DC5" w:rsidRDefault="5BD6BE3F" w:rsidP="727BFE15">
            <w:pPr>
              <w:spacing w:before="0" w:after="0" w:line="240" w:lineRule="auto"/>
              <w:rPr>
                <w:rFonts w:eastAsia="Times New Roman" w:cs="Calibri"/>
                <w:color w:val="000000"/>
                <w:sz w:val="20"/>
                <w:szCs w:val="20"/>
              </w:rPr>
            </w:pPr>
            <w:r w:rsidRPr="727BFE15">
              <w:rPr>
                <w:rFonts w:eastAsia="Times New Roman" w:cs="Calibri"/>
                <w:color w:val="000000"/>
                <w:sz w:val="20"/>
                <w:szCs w:val="20"/>
              </w:rPr>
              <w:t xml:space="preserve">Line </w:t>
            </w:r>
            <w:r w:rsidR="018FF83C" w:rsidRPr="727BFE15">
              <w:rPr>
                <w:rFonts w:eastAsia="Times New Roman" w:cs="Calibri"/>
                <w:color w:val="000000"/>
                <w:sz w:val="20"/>
                <w:szCs w:val="20"/>
              </w:rPr>
              <w:t>i</w:t>
            </w:r>
            <w:r w:rsidRPr="727BFE15">
              <w:rPr>
                <w:rFonts w:eastAsia="Times New Roman" w:cs="Calibri"/>
                <w:color w:val="000000"/>
                <w:sz w:val="20"/>
                <w:szCs w:val="20"/>
              </w:rPr>
              <w:t>tem</w:t>
            </w:r>
          </w:p>
        </w:tc>
        <w:tc>
          <w:tcPr>
            <w:tcW w:w="5939" w:type="dxa"/>
            <w:noWrap/>
          </w:tcPr>
          <w:p w14:paraId="4F78B1B2" w14:textId="599541D3" w:rsidR="003D659B" w:rsidRPr="00442DC5" w:rsidRDefault="5BD6BE3F" w:rsidP="727BFE15">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727BFE15">
              <w:rPr>
                <w:rFonts w:eastAsia="Times New Roman" w:cs="Calibri"/>
                <w:color w:val="000000"/>
                <w:sz w:val="20"/>
                <w:szCs w:val="20"/>
              </w:rPr>
              <w:t xml:space="preserve">Explanatory </w:t>
            </w:r>
            <w:r w:rsidR="018FF83C" w:rsidRPr="727BFE15">
              <w:rPr>
                <w:rFonts w:eastAsia="Times New Roman" w:cs="Calibri"/>
                <w:color w:val="000000"/>
                <w:sz w:val="20"/>
                <w:szCs w:val="20"/>
              </w:rPr>
              <w:t>n</w:t>
            </w:r>
            <w:r w:rsidRPr="727BFE15">
              <w:rPr>
                <w:rFonts w:eastAsia="Times New Roman" w:cs="Calibri"/>
                <w:color w:val="000000"/>
                <w:sz w:val="20"/>
                <w:szCs w:val="20"/>
              </w:rPr>
              <w:t>otes</w:t>
            </w:r>
          </w:p>
        </w:tc>
        <w:tc>
          <w:tcPr>
            <w:tcW w:w="1640" w:type="dxa"/>
            <w:noWrap/>
          </w:tcPr>
          <w:p w14:paraId="6445DEAA" w14:textId="5A0F2AFF" w:rsidR="003D659B" w:rsidRPr="00442DC5" w:rsidRDefault="5BD6BE3F" w:rsidP="727BFE15">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olor w:val="141414"/>
              </w:rPr>
            </w:pPr>
            <w:r w:rsidRPr="727BFE15">
              <w:rPr>
                <w:rFonts w:eastAsia="Times New Roman" w:cs="Calibri"/>
                <w:color w:val="000000"/>
                <w:sz w:val="20"/>
                <w:szCs w:val="20"/>
              </w:rPr>
              <w:t xml:space="preserve">Budget </w:t>
            </w:r>
            <w:r w:rsidR="018FF83C" w:rsidRPr="727BFE15">
              <w:rPr>
                <w:rFonts w:eastAsia="Times New Roman" w:cs="Calibri"/>
                <w:color w:val="000000"/>
                <w:sz w:val="20"/>
                <w:szCs w:val="20"/>
              </w:rPr>
              <w:t>a</w:t>
            </w:r>
            <w:r w:rsidRPr="727BFE15">
              <w:rPr>
                <w:rFonts w:eastAsia="Times New Roman" w:cs="Calibri"/>
                <w:color w:val="000000"/>
                <w:sz w:val="20"/>
                <w:szCs w:val="20"/>
              </w:rPr>
              <w:t>mount</w:t>
            </w:r>
          </w:p>
        </w:tc>
      </w:tr>
      <w:tr w:rsidR="003D659B" w:rsidRPr="00442DC5" w14:paraId="1F86707E"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1F087BDF" w14:textId="77777777" w:rsidR="003D659B" w:rsidRPr="00DA11BF" w:rsidRDefault="003D659B" w:rsidP="00B34E09">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Total investment</w:t>
            </w:r>
            <w:r>
              <w:rPr>
                <w:rFonts w:eastAsia="Times New Roman" w:cs="Calibri"/>
                <w:b w:val="0"/>
                <w:bCs w:val="0"/>
                <w:color w:val="000000"/>
                <w:sz w:val="20"/>
                <w:szCs w:val="20"/>
              </w:rPr>
              <w:t xml:space="preserve"> principal</w:t>
            </w:r>
          </w:p>
        </w:tc>
        <w:tc>
          <w:tcPr>
            <w:tcW w:w="5939" w:type="dxa"/>
            <w:noWrap/>
            <w:hideMark/>
          </w:tcPr>
          <w:p w14:paraId="2384D355"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p>
        </w:tc>
        <w:tc>
          <w:tcPr>
            <w:tcW w:w="1640" w:type="dxa"/>
            <w:noWrap/>
          </w:tcPr>
          <w:p w14:paraId="39AC3BFF" w14:textId="5A8BB8BE" w:rsidR="003D659B" w:rsidRPr="00FF62ED" w:rsidRDefault="003D659B" w:rsidP="00B34E09">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r>
      <w:tr w:rsidR="003D659B" w:rsidRPr="00442DC5" w14:paraId="69043580"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39656DD" w14:textId="77777777" w:rsidR="003D659B" w:rsidRPr="00DA11BF" w:rsidRDefault="003D659B" w:rsidP="00B34E09">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TOB capital contribution</w:t>
            </w:r>
          </w:p>
        </w:tc>
        <w:tc>
          <w:tcPr>
            <w:tcW w:w="5939" w:type="dxa"/>
            <w:noWrap/>
            <w:hideMark/>
          </w:tcPr>
          <w:p w14:paraId="398EFB88" w14:textId="77777777" w:rsidR="003D659B" w:rsidRPr="00DA11BF" w:rsidRDefault="003D659B"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640" w:type="dxa"/>
            <w:noWrap/>
          </w:tcPr>
          <w:p w14:paraId="3D54606E" w14:textId="3D3B2A6A" w:rsidR="003D659B" w:rsidRPr="00FF62ED" w:rsidRDefault="003D659B" w:rsidP="00B34E0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r>
      <w:tr w:rsidR="003D659B" w:rsidRPr="00DA11BF" w14:paraId="4C065896"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61854BA9" w14:textId="77777777" w:rsidR="003D659B" w:rsidRPr="00DA11BF" w:rsidRDefault="003D659B" w:rsidP="00B34E09">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Utility incentives</w:t>
            </w:r>
          </w:p>
        </w:tc>
        <w:tc>
          <w:tcPr>
            <w:tcW w:w="5939" w:type="dxa"/>
            <w:noWrap/>
            <w:hideMark/>
          </w:tcPr>
          <w:p w14:paraId="51B47C44"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p>
        </w:tc>
        <w:tc>
          <w:tcPr>
            <w:tcW w:w="1640" w:type="dxa"/>
            <w:noWrap/>
          </w:tcPr>
          <w:p w14:paraId="14102FCC" w14:textId="21D6F2BC" w:rsidR="003D659B" w:rsidRPr="00FF62ED" w:rsidRDefault="003D659B" w:rsidP="00B34E09">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r>
      <w:tr w:rsidR="003D659B" w:rsidRPr="00442DC5" w14:paraId="2CE6FB29"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2A81442A" w14:textId="16AF9E58" w:rsidR="003D659B" w:rsidRPr="00DA11BF" w:rsidRDefault="5BD6BE3F" w:rsidP="00B34E09">
            <w:pPr>
              <w:spacing w:before="0" w:after="0" w:line="240" w:lineRule="auto"/>
              <w:rPr>
                <w:rFonts w:eastAsia="Times New Roman" w:cs="Calibri"/>
                <w:b w:val="0"/>
                <w:bCs w:val="0"/>
                <w:color w:val="000000"/>
                <w:sz w:val="20"/>
                <w:szCs w:val="20"/>
              </w:rPr>
            </w:pPr>
            <w:r w:rsidRPr="727BFE15">
              <w:rPr>
                <w:rFonts w:eastAsia="Times New Roman" w:cs="Calibri"/>
                <w:b w:val="0"/>
                <w:bCs w:val="0"/>
                <w:color w:val="000000"/>
                <w:sz w:val="20"/>
                <w:szCs w:val="20"/>
              </w:rPr>
              <w:t>Customer co</w:t>
            </w:r>
            <w:r w:rsidR="018FF83C" w:rsidRPr="727BFE15">
              <w:rPr>
                <w:rFonts w:eastAsia="Times New Roman" w:cs="Calibri"/>
                <w:b w:val="0"/>
                <w:bCs w:val="0"/>
                <w:color w:val="000000"/>
                <w:sz w:val="20"/>
                <w:szCs w:val="20"/>
              </w:rPr>
              <w:t>-</w:t>
            </w:r>
            <w:r w:rsidRPr="727BFE15">
              <w:rPr>
                <w:rFonts w:eastAsia="Times New Roman" w:cs="Calibri"/>
                <w:b w:val="0"/>
                <w:bCs w:val="0"/>
                <w:color w:val="000000"/>
                <w:sz w:val="20"/>
                <w:szCs w:val="20"/>
              </w:rPr>
              <w:t>pay</w:t>
            </w:r>
          </w:p>
        </w:tc>
        <w:tc>
          <w:tcPr>
            <w:tcW w:w="5939" w:type="dxa"/>
            <w:noWrap/>
            <w:hideMark/>
          </w:tcPr>
          <w:p w14:paraId="3C20D8A6" w14:textId="77777777" w:rsidR="003D659B" w:rsidRPr="00DA11BF" w:rsidRDefault="003D659B"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640" w:type="dxa"/>
            <w:noWrap/>
          </w:tcPr>
          <w:p w14:paraId="53242687" w14:textId="4E2AE20D" w:rsidR="003D659B" w:rsidRPr="00FF62ED" w:rsidRDefault="003D659B" w:rsidP="00B34E09">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r>
      <w:tr w:rsidR="003D659B" w:rsidRPr="00DA11BF" w14:paraId="0EED0AC3"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343E1FDF" w14:textId="77777777" w:rsidR="003D659B" w:rsidRPr="00DA11BF" w:rsidRDefault="003D659B" w:rsidP="00B34E09">
            <w:pPr>
              <w:spacing w:before="0" w:after="0" w:line="240" w:lineRule="auto"/>
              <w:rPr>
                <w:rFonts w:eastAsia="Times New Roman" w:cs="Calibri"/>
                <w:b w:val="0"/>
                <w:bCs w:val="0"/>
                <w:color w:val="000000"/>
                <w:sz w:val="20"/>
                <w:szCs w:val="20"/>
              </w:rPr>
            </w:pPr>
            <w:r>
              <w:rPr>
                <w:rFonts w:eastAsia="Times New Roman" w:cs="Calibri"/>
                <w:b w:val="0"/>
                <w:bCs w:val="0"/>
                <w:color w:val="000000"/>
                <w:sz w:val="20"/>
                <w:szCs w:val="20"/>
              </w:rPr>
              <w:t>C</w:t>
            </w:r>
            <w:r w:rsidRPr="00DA11BF">
              <w:rPr>
                <w:rFonts w:eastAsia="Times New Roman" w:cs="Calibri"/>
                <w:b w:val="0"/>
                <w:bCs w:val="0"/>
                <w:color w:val="000000"/>
                <w:sz w:val="20"/>
                <w:szCs w:val="20"/>
              </w:rPr>
              <w:t>ost of TOB capital</w:t>
            </w:r>
          </w:p>
        </w:tc>
        <w:tc>
          <w:tcPr>
            <w:tcW w:w="5939" w:type="dxa"/>
            <w:noWrap/>
            <w:hideMark/>
          </w:tcPr>
          <w:p w14:paraId="4E598EE5"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p>
        </w:tc>
        <w:tc>
          <w:tcPr>
            <w:tcW w:w="1640" w:type="dxa"/>
            <w:noWrap/>
          </w:tcPr>
          <w:p w14:paraId="5CCBBBB6" w14:textId="5E2ED8B3" w:rsidR="003D659B" w:rsidRPr="00FF62ED" w:rsidRDefault="003D659B" w:rsidP="00B34E09">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r>
      <w:tr w:rsidR="003D659B" w:rsidRPr="00262C7B" w14:paraId="0ED2FB0F"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36C2A5EB" w14:textId="5C45812D" w:rsidR="003D659B" w:rsidRPr="00DA11BF" w:rsidRDefault="5BD6BE3F" w:rsidP="00B34E09">
            <w:pPr>
              <w:spacing w:before="0" w:after="0" w:line="240" w:lineRule="auto"/>
              <w:rPr>
                <w:rFonts w:eastAsia="Times New Roman" w:cs="Calibri"/>
                <w:color w:val="000000"/>
                <w:sz w:val="20"/>
                <w:szCs w:val="20"/>
              </w:rPr>
            </w:pPr>
            <w:r w:rsidRPr="727BFE15">
              <w:rPr>
                <w:rFonts w:eastAsia="Times New Roman" w:cs="Calibri"/>
                <w:color w:val="000000"/>
                <w:sz w:val="20"/>
                <w:szCs w:val="20"/>
              </w:rPr>
              <w:t xml:space="preserve">Total </w:t>
            </w:r>
            <w:r w:rsidR="018FF83C" w:rsidRPr="727BFE15">
              <w:rPr>
                <w:rFonts w:eastAsia="Times New Roman" w:cs="Calibri"/>
                <w:color w:val="000000"/>
                <w:sz w:val="20"/>
                <w:szCs w:val="20"/>
              </w:rPr>
              <w:t>c</w:t>
            </w:r>
            <w:r w:rsidRPr="727BFE15">
              <w:rPr>
                <w:rFonts w:eastAsia="Times New Roman" w:cs="Calibri"/>
                <w:color w:val="000000"/>
                <w:sz w:val="20"/>
                <w:szCs w:val="20"/>
              </w:rPr>
              <w:t xml:space="preserve">apital </w:t>
            </w:r>
            <w:r w:rsidR="018FF83C" w:rsidRPr="727BFE15">
              <w:rPr>
                <w:rFonts w:eastAsia="Times New Roman" w:cs="Calibri"/>
                <w:color w:val="000000"/>
                <w:sz w:val="20"/>
                <w:szCs w:val="20"/>
              </w:rPr>
              <w:t>r</w:t>
            </w:r>
            <w:r w:rsidRPr="727BFE15">
              <w:rPr>
                <w:rFonts w:eastAsia="Times New Roman" w:cs="Calibri"/>
                <w:color w:val="000000"/>
                <w:sz w:val="20"/>
                <w:szCs w:val="20"/>
              </w:rPr>
              <w:t>equirement</w:t>
            </w:r>
          </w:p>
        </w:tc>
        <w:tc>
          <w:tcPr>
            <w:tcW w:w="5939" w:type="dxa"/>
            <w:noWrap/>
            <w:hideMark/>
          </w:tcPr>
          <w:p w14:paraId="6464025C" w14:textId="77777777" w:rsidR="003D659B" w:rsidRPr="00DA11BF" w:rsidRDefault="003D659B"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p>
        </w:tc>
        <w:tc>
          <w:tcPr>
            <w:tcW w:w="1640" w:type="dxa"/>
            <w:noWrap/>
          </w:tcPr>
          <w:p w14:paraId="6BBB6307" w14:textId="463C2BE9" w:rsidR="003F6900" w:rsidRPr="00FF62ED" w:rsidRDefault="003F6900" w:rsidP="0041131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highlight w:val="magenta"/>
              </w:rPr>
            </w:pPr>
          </w:p>
        </w:tc>
      </w:tr>
      <w:tr w:rsidR="00DB3644" w:rsidRPr="00442DC5" w14:paraId="77A6C811"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tcPr>
          <w:p w14:paraId="160C8D39" w14:textId="77777777" w:rsidR="00DB3644" w:rsidRPr="00DA11BF" w:rsidRDefault="00DB3644" w:rsidP="00B34E09">
            <w:pPr>
              <w:spacing w:before="0" w:after="0" w:line="240" w:lineRule="auto"/>
              <w:jc w:val="right"/>
              <w:rPr>
                <w:rFonts w:eastAsia="Times New Roman" w:cs="Calibri"/>
                <w:b w:val="0"/>
                <w:bCs w:val="0"/>
                <w:color w:val="000000"/>
                <w:sz w:val="20"/>
                <w:szCs w:val="20"/>
              </w:rPr>
            </w:pPr>
          </w:p>
        </w:tc>
        <w:tc>
          <w:tcPr>
            <w:tcW w:w="5939" w:type="dxa"/>
            <w:noWrap/>
          </w:tcPr>
          <w:p w14:paraId="7A928CE9" w14:textId="77777777" w:rsidR="00DB3644" w:rsidRPr="00DA11BF" w:rsidRDefault="00DB3644"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p>
        </w:tc>
        <w:tc>
          <w:tcPr>
            <w:tcW w:w="1640" w:type="dxa"/>
            <w:noWrap/>
          </w:tcPr>
          <w:p w14:paraId="6334B23D" w14:textId="77777777" w:rsidR="00DB3644" w:rsidRPr="00FF62ED" w:rsidRDefault="00DB3644" w:rsidP="0041131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highlight w:val="magenta"/>
              </w:rPr>
            </w:pPr>
          </w:p>
        </w:tc>
      </w:tr>
      <w:tr w:rsidR="00DB3644" w:rsidRPr="00442DC5" w14:paraId="4E705C69"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tcPr>
          <w:p w14:paraId="54562252" w14:textId="604D9419" w:rsidR="00DB3644" w:rsidRPr="00262C7B" w:rsidRDefault="00DB3644" w:rsidP="00262C7B">
            <w:pPr>
              <w:spacing w:before="0" w:after="0" w:line="240" w:lineRule="auto"/>
              <w:rPr>
                <w:rFonts w:eastAsia="Times New Roman" w:cs="Calibri"/>
                <w:color w:val="000000"/>
                <w:sz w:val="20"/>
                <w:szCs w:val="20"/>
              </w:rPr>
            </w:pPr>
            <w:r w:rsidRPr="00262C7B">
              <w:rPr>
                <w:rFonts w:eastAsia="Times New Roman" w:cs="Calibri"/>
                <w:color w:val="000000"/>
                <w:sz w:val="20"/>
                <w:szCs w:val="20"/>
              </w:rPr>
              <w:t>Start-up costs</w:t>
            </w:r>
          </w:p>
        </w:tc>
        <w:tc>
          <w:tcPr>
            <w:tcW w:w="5939" w:type="dxa"/>
            <w:noWrap/>
          </w:tcPr>
          <w:p w14:paraId="076F7E3B" w14:textId="034DF612" w:rsidR="00DB3644" w:rsidRPr="00CE24F0" w:rsidRDefault="7754B282"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r w:rsidRPr="727BFE15">
              <w:rPr>
                <w:rFonts w:eastAsia="Times New Roman"/>
                <w:color w:val="auto"/>
                <w:sz w:val="20"/>
                <w:szCs w:val="20"/>
              </w:rPr>
              <w:t>Billing system</w:t>
            </w:r>
            <w:r w:rsidR="4A422F42" w:rsidRPr="727BFE15">
              <w:rPr>
                <w:rFonts w:eastAsia="Times New Roman"/>
                <w:color w:val="auto"/>
                <w:sz w:val="20"/>
                <w:szCs w:val="20"/>
              </w:rPr>
              <w:t xml:space="preserve"> and program IT setup, legal and other costs</w:t>
            </w:r>
          </w:p>
        </w:tc>
        <w:tc>
          <w:tcPr>
            <w:tcW w:w="1640" w:type="dxa"/>
            <w:noWrap/>
          </w:tcPr>
          <w:p w14:paraId="5B4A5A20" w14:textId="0D6D5E2B" w:rsidR="00DB3644" w:rsidRPr="00FF62ED" w:rsidRDefault="00DB3644" w:rsidP="0041131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highlight w:val="magenta"/>
              </w:rPr>
            </w:pPr>
          </w:p>
        </w:tc>
      </w:tr>
      <w:tr w:rsidR="003D659B" w:rsidRPr="00442DC5" w14:paraId="62E6F007"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tcPr>
          <w:p w14:paraId="4EF61722" w14:textId="77777777" w:rsidR="003D659B" w:rsidRPr="00DA11BF" w:rsidRDefault="003D659B" w:rsidP="00B34E09">
            <w:pPr>
              <w:spacing w:before="0" w:after="0" w:line="240" w:lineRule="auto"/>
              <w:jc w:val="right"/>
              <w:rPr>
                <w:rFonts w:eastAsia="Times New Roman" w:cs="Calibri"/>
                <w:b w:val="0"/>
                <w:bCs w:val="0"/>
                <w:color w:val="000000"/>
                <w:sz w:val="20"/>
                <w:szCs w:val="20"/>
              </w:rPr>
            </w:pPr>
          </w:p>
        </w:tc>
        <w:tc>
          <w:tcPr>
            <w:tcW w:w="5939" w:type="dxa"/>
            <w:noWrap/>
          </w:tcPr>
          <w:p w14:paraId="51E26564"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p>
        </w:tc>
        <w:tc>
          <w:tcPr>
            <w:tcW w:w="1640" w:type="dxa"/>
            <w:noWrap/>
          </w:tcPr>
          <w:p w14:paraId="755898B3" w14:textId="77777777" w:rsidR="003D659B" w:rsidRPr="00FF62ED" w:rsidRDefault="003D659B" w:rsidP="0041131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highlight w:val="magenta"/>
              </w:rPr>
            </w:pPr>
          </w:p>
        </w:tc>
      </w:tr>
      <w:tr w:rsidR="003D659B" w:rsidRPr="00DA11BF" w14:paraId="7B47D3EB"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093370D" w14:textId="77777777" w:rsidR="003D659B" w:rsidRPr="00DA11BF" w:rsidRDefault="003D659B" w:rsidP="00B34E09">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Utility charge off risk mitigation</w:t>
            </w:r>
          </w:p>
        </w:tc>
        <w:tc>
          <w:tcPr>
            <w:tcW w:w="5939" w:type="dxa"/>
            <w:noWrap/>
            <w:hideMark/>
          </w:tcPr>
          <w:p w14:paraId="3AB3C6E3" w14:textId="77777777" w:rsidR="003D659B" w:rsidRPr="00DA11BF" w:rsidRDefault="003D659B"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11BF">
              <w:rPr>
                <w:rFonts w:eastAsia="Times New Roman" w:cs="Calibri"/>
                <w:color w:val="000000"/>
                <w:sz w:val="20"/>
                <w:szCs w:val="20"/>
              </w:rPr>
              <w:t>Reserve contribution</w:t>
            </w:r>
            <w:r w:rsidRPr="00442DC5">
              <w:rPr>
                <w:rFonts w:eastAsia="Times New Roman" w:cs="Calibri"/>
                <w:color w:val="000000"/>
                <w:sz w:val="20"/>
                <w:szCs w:val="20"/>
              </w:rPr>
              <w:t xml:space="preserve"> @ 3% of TOB capital</w:t>
            </w:r>
          </w:p>
        </w:tc>
        <w:tc>
          <w:tcPr>
            <w:tcW w:w="1640" w:type="dxa"/>
            <w:noWrap/>
          </w:tcPr>
          <w:p w14:paraId="1DE1D227" w14:textId="37C246E7" w:rsidR="003D659B" w:rsidRPr="00FF62ED" w:rsidRDefault="003D659B" w:rsidP="0041131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r>
      <w:tr w:rsidR="003D659B" w:rsidRPr="00442DC5" w14:paraId="01E22DD0"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D99CF97" w14:textId="77777777" w:rsidR="003D659B" w:rsidRPr="00DA11BF" w:rsidRDefault="003D659B" w:rsidP="00B34E09">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Customer performance reserves</w:t>
            </w:r>
          </w:p>
        </w:tc>
        <w:tc>
          <w:tcPr>
            <w:tcW w:w="5939" w:type="dxa"/>
            <w:noWrap/>
            <w:hideMark/>
          </w:tcPr>
          <w:p w14:paraId="60BD9903"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11BF">
              <w:rPr>
                <w:rFonts w:eastAsia="Times New Roman" w:cs="Calibri"/>
                <w:color w:val="000000"/>
                <w:sz w:val="20"/>
                <w:szCs w:val="20"/>
              </w:rPr>
              <w:t>5% of TOB capital</w:t>
            </w:r>
          </w:p>
        </w:tc>
        <w:tc>
          <w:tcPr>
            <w:tcW w:w="1640" w:type="dxa"/>
            <w:noWrap/>
          </w:tcPr>
          <w:p w14:paraId="64A3FB07" w14:textId="3326D6FF" w:rsidR="003D659B" w:rsidRPr="00FF62ED" w:rsidRDefault="003D659B" w:rsidP="0041131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r>
      <w:tr w:rsidR="003D659B" w:rsidRPr="00442DC5" w14:paraId="054B853F"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EA3E8A9" w14:textId="6A2C53CC" w:rsidR="003D659B" w:rsidRPr="00262C7B" w:rsidRDefault="5BD6BE3F" w:rsidP="00B34E09">
            <w:pPr>
              <w:spacing w:before="0" w:after="0" w:line="240" w:lineRule="auto"/>
              <w:rPr>
                <w:rFonts w:eastAsia="Times New Roman"/>
                <w:color w:val="auto"/>
                <w:sz w:val="20"/>
                <w:szCs w:val="20"/>
              </w:rPr>
            </w:pPr>
            <w:r w:rsidRPr="727BFE15">
              <w:rPr>
                <w:rFonts w:eastAsia="Times New Roman"/>
                <w:color w:val="auto"/>
                <w:sz w:val="20"/>
                <w:szCs w:val="20"/>
              </w:rPr>
              <w:t xml:space="preserve">Total </w:t>
            </w:r>
            <w:r w:rsidR="018FF83C" w:rsidRPr="727BFE15">
              <w:rPr>
                <w:rFonts w:eastAsia="Times New Roman"/>
                <w:color w:val="auto"/>
                <w:sz w:val="20"/>
                <w:szCs w:val="20"/>
              </w:rPr>
              <w:t>r</w:t>
            </w:r>
            <w:r w:rsidRPr="727BFE15">
              <w:rPr>
                <w:rFonts w:eastAsia="Times New Roman"/>
                <w:color w:val="auto"/>
                <w:sz w:val="20"/>
                <w:szCs w:val="20"/>
              </w:rPr>
              <w:t xml:space="preserve">isk </w:t>
            </w:r>
            <w:r w:rsidR="018FF83C" w:rsidRPr="727BFE15">
              <w:rPr>
                <w:rFonts w:eastAsia="Times New Roman"/>
                <w:color w:val="auto"/>
                <w:sz w:val="20"/>
                <w:szCs w:val="20"/>
              </w:rPr>
              <w:t>m</w:t>
            </w:r>
            <w:r w:rsidRPr="727BFE15">
              <w:rPr>
                <w:rFonts w:eastAsia="Times New Roman"/>
                <w:color w:val="auto"/>
                <w:sz w:val="20"/>
                <w:szCs w:val="20"/>
              </w:rPr>
              <w:t>itigation</w:t>
            </w:r>
            <w:r w:rsidR="018FF83C" w:rsidRPr="727BFE15">
              <w:rPr>
                <w:rFonts w:eastAsia="Times New Roman"/>
                <w:color w:val="auto"/>
                <w:sz w:val="20"/>
                <w:szCs w:val="20"/>
              </w:rPr>
              <w:t xml:space="preserve"> costs</w:t>
            </w:r>
          </w:p>
        </w:tc>
        <w:tc>
          <w:tcPr>
            <w:tcW w:w="5939" w:type="dxa"/>
            <w:noWrap/>
            <w:hideMark/>
          </w:tcPr>
          <w:p w14:paraId="71219F6A" w14:textId="77777777" w:rsidR="003D659B" w:rsidRPr="00262C7B" w:rsidRDefault="003D659B"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rPr>
            </w:pPr>
          </w:p>
        </w:tc>
        <w:tc>
          <w:tcPr>
            <w:tcW w:w="1640" w:type="dxa"/>
            <w:noWrap/>
          </w:tcPr>
          <w:p w14:paraId="31EDA7CF" w14:textId="108DAFBD" w:rsidR="003D659B" w:rsidRPr="00FF62ED" w:rsidRDefault="003D659B" w:rsidP="0041131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highlight w:val="magenta"/>
              </w:rPr>
            </w:pPr>
          </w:p>
        </w:tc>
      </w:tr>
      <w:tr w:rsidR="003D659B" w:rsidRPr="00442DC5" w14:paraId="65942F3F"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tcPr>
          <w:p w14:paraId="3D437B95" w14:textId="77777777" w:rsidR="003D659B" w:rsidRPr="00DA11BF" w:rsidRDefault="003D659B" w:rsidP="00B34E09">
            <w:pPr>
              <w:spacing w:before="0" w:after="0" w:line="240" w:lineRule="auto"/>
              <w:jc w:val="right"/>
              <w:rPr>
                <w:rFonts w:eastAsia="Times New Roman"/>
                <w:b w:val="0"/>
                <w:bCs w:val="0"/>
                <w:color w:val="auto"/>
                <w:sz w:val="20"/>
                <w:szCs w:val="20"/>
              </w:rPr>
            </w:pPr>
          </w:p>
        </w:tc>
        <w:tc>
          <w:tcPr>
            <w:tcW w:w="5939" w:type="dxa"/>
            <w:noWrap/>
          </w:tcPr>
          <w:p w14:paraId="60E8D7B9"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p>
        </w:tc>
        <w:tc>
          <w:tcPr>
            <w:tcW w:w="1640" w:type="dxa"/>
            <w:noWrap/>
          </w:tcPr>
          <w:p w14:paraId="5FA8B0D1" w14:textId="77777777" w:rsidR="003D659B" w:rsidRPr="00FF62ED" w:rsidRDefault="003D659B" w:rsidP="0041131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highlight w:val="magenta"/>
              </w:rPr>
            </w:pPr>
          </w:p>
        </w:tc>
      </w:tr>
      <w:tr w:rsidR="003D659B" w:rsidRPr="00DA11BF" w14:paraId="1B459D32"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0E55E41" w14:textId="77777777" w:rsidR="003D659B" w:rsidRPr="00CE24F0" w:rsidRDefault="5BD6BE3F" w:rsidP="00B34E09">
            <w:pPr>
              <w:spacing w:before="0" w:after="0" w:line="240" w:lineRule="auto"/>
              <w:rPr>
                <w:rFonts w:eastAsia="Times New Roman" w:cs="Calibri"/>
                <w:color w:val="000000"/>
                <w:sz w:val="20"/>
                <w:szCs w:val="20"/>
              </w:rPr>
            </w:pPr>
            <w:r w:rsidRPr="727BFE15">
              <w:rPr>
                <w:rFonts w:eastAsia="Times New Roman" w:cs="Calibri"/>
                <w:color w:val="000000"/>
                <w:sz w:val="20"/>
                <w:szCs w:val="20"/>
              </w:rPr>
              <w:t>Program operating costs</w:t>
            </w:r>
          </w:p>
        </w:tc>
        <w:tc>
          <w:tcPr>
            <w:tcW w:w="5939" w:type="dxa"/>
            <w:noWrap/>
            <w:hideMark/>
          </w:tcPr>
          <w:p w14:paraId="7A5D9955" w14:textId="77777777" w:rsidR="003D659B" w:rsidRPr="00DA11BF" w:rsidRDefault="003D659B"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640" w:type="dxa"/>
            <w:noWrap/>
          </w:tcPr>
          <w:p w14:paraId="73D05B25" w14:textId="77777777" w:rsidR="003D659B" w:rsidRPr="00FF62ED" w:rsidRDefault="003D659B" w:rsidP="0041131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highlight w:val="magenta"/>
              </w:rPr>
            </w:pPr>
          </w:p>
        </w:tc>
      </w:tr>
      <w:tr w:rsidR="003D659B" w:rsidRPr="00442DC5" w14:paraId="6928DD27"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8AC394A" w14:textId="77777777" w:rsidR="003D659B" w:rsidRPr="00DA11BF" w:rsidRDefault="003D659B" w:rsidP="00B34E09">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Administration</w:t>
            </w:r>
          </w:p>
        </w:tc>
        <w:tc>
          <w:tcPr>
            <w:tcW w:w="5939" w:type="dxa"/>
            <w:noWrap/>
            <w:hideMark/>
          </w:tcPr>
          <w:p w14:paraId="621EB993"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sidRPr="00DA11BF">
              <w:rPr>
                <w:rFonts w:eastAsia="Times New Roman" w:cs="Calibri"/>
                <w:color w:val="000000"/>
                <w:sz w:val="20"/>
                <w:szCs w:val="20"/>
              </w:rPr>
              <w:t>10% of program costs</w:t>
            </w:r>
          </w:p>
        </w:tc>
        <w:tc>
          <w:tcPr>
            <w:tcW w:w="1640" w:type="dxa"/>
            <w:noWrap/>
          </w:tcPr>
          <w:p w14:paraId="4FC2399B" w14:textId="269B9072" w:rsidR="003D659B" w:rsidRPr="00FF62ED" w:rsidRDefault="003D659B" w:rsidP="0041131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r>
      <w:tr w:rsidR="003D659B" w:rsidRPr="00DA11BF" w14:paraId="150F703F"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FB905F2" w14:textId="77777777" w:rsidR="003D659B" w:rsidRPr="00DA11BF" w:rsidRDefault="003D659B" w:rsidP="00B34E09">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Marketing and outreach</w:t>
            </w:r>
          </w:p>
        </w:tc>
        <w:tc>
          <w:tcPr>
            <w:tcW w:w="5939" w:type="dxa"/>
            <w:noWrap/>
            <w:hideMark/>
          </w:tcPr>
          <w:p w14:paraId="5825FA84" w14:textId="77777777" w:rsidR="003D659B" w:rsidRPr="00DA11BF" w:rsidRDefault="003D659B"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00DA11BF">
              <w:rPr>
                <w:rFonts w:eastAsia="Times New Roman" w:cs="Calibri"/>
                <w:color w:val="000000"/>
                <w:sz w:val="20"/>
                <w:szCs w:val="20"/>
              </w:rPr>
              <w:t>6% of program costs</w:t>
            </w:r>
          </w:p>
        </w:tc>
        <w:tc>
          <w:tcPr>
            <w:tcW w:w="1640" w:type="dxa"/>
            <w:noWrap/>
          </w:tcPr>
          <w:p w14:paraId="44087F7B" w14:textId="39013464" w:rsidR="003D659B" w:rsidRPr="00FF62ED" w:rsidRDefault="003D659B" w:rsidP="0041131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r>
      <w:tr w:rsidR="003D659B" w:rsidRPr="00DA11BF" w14:paraId="0859FD66"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1BD75F2C" w14:textId="3F885BE8" w:rsidR="003D659B" w:rsidRPr="00DA11BF" w:rsidRDefault="00A57CBE" w:rsidP="00B34E09">
            <w:pPr>
              <w:spacing w:before="0" w:after="0" w:line="240" w:lineRule="auto"/>
              <w:rPr>
                <w:rFonts w:eastAsia="Times New Roman" w:cs="Calibri"/>
                <w:b w:val="0"/>
                <w:bCs w:val="0"/>
                <w:color w:val="000000"/>
                <w:sz w:val="20"/>
                <w:szCs w:val="20"/>
              </w:rPr>
            </w:pPr>
            <w:r>
              <w:rPr>
                <w:rFonts w:eastAsia="Times New Roman" w:cs="Calibri"/>
                <w:b w:val="0"/>
                <w:bCs w:val="0"/>
                <w:color w:val="000000"/>
                <w:sz w:val="20"/>
                <w:szCs w:val="20"/>
              </w:rPr>
              <w:t>I</w:t>
            </w:r>
            <w:r w:rsidR="003D659B" w:rsidRPr="00DA11BF">
              <w:rPr>
                <w:rFonts w:eastAsia="Times New Roman" w:cs="Calibri"/>
                <w:b w:val="0"/>
                <w:bCs w:val="0"/>
                <w:color w:val="000000"/>
                <w:sz w:val="20"/>
                <w:szCs w:val="20"/>
              </w:rPr>
              <w:t>mplementation</w:t>
            </w:r>
          </w:p>
        </w:tc>
        <w:tc>
          <w:tcPr>
            <w:tcW w:w="5939" w:type="dxa"/>
            <w:noWrap/>
            <w:hideMark/>
          </w:tcPr>
          <w:p w14:paraId="306AC911" w14:textId="77777777" w:rsidR="003D659B" w:rsidRPr="00DA11BF"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p>
        </w:tc>
        <w:tc>
          <w:tcPr>
            <w:tcW w:w="1640" w:type="dxa"/>
            <w:noWrap/>
          </w:tcPr>
          <w:p w14:paraId="0BB05FDB" w14:textId="7E43A509" w:rsidR="003D659B" w:rsidRPr="00FF62ED" w:rsidRDefault="003D659B" w:rsidP="0041131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r>
      <w:tr w:rsidR="00655DFE" w:rsidRPr="00442DC5" w14:paraId="324E1304"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tcPr>
          <w:p w14:paraId="0746722C" w14:textId="6AC24855" w:rsidR="00655DFE" w:rsidRPr="00DA11BF" w:rsidRDefault="018FF83C" w:rsidP="00655DFE">
            <w:pPr>
              <w:spacing w:before="0" w:after="0" w:line="240" w:lineRule="auto"/>
              <w:rPr>
                <w:rFonts w:eastAsia="Times New Roman" w:cs="Calibri"/>
                <w:b w:val="0"/>
                <w:bCs w:val="0"/>
                <w:color w:val="000000"/>
                <w:sz w:val="20"/>
                <w:szCs w:val="20"/>
              </w:rPr>
            </w:pPr>
            <w:r w:rsidRPr="727BFE15">
              <w:rPr>
                <w:rFonts w:eastAsia="Times New Roman" w:cs="Calibri"/>
                <w:b w:val="0"/>
                <w:bCs w:val="0"/>
                <w:color w:val="000000"/>
                <w:sz w:val="20"/>
                <w:szCs w:val="20"/>
              </w:rPr>
              <w:t>Measurement &amp; verification</w:t>
            </w:r>
          </w:p>
        </w:tc>
        <w:tc>
          <w:tcPr>
            <w:tcW w:w="5939" w:type="dxa"/>
            <w:noWrap/>
          </w:tcPr>
          <w:p w14:paraId="3496C592" w14:textId="2CB53AA1" w:rsidR="00655DFE" w:rsidRPr="00DA11BF" w:rsidRDefault="00655DFE" w:rsidP="00655DFE">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p>
        </w:tc>
        <w:tc>
          <w:tcPr>
            <w:tcW w:w="1640" w:type="dxa"/>
            <w:noWrap/>
          </w:tcPr>
          <w:p w14:paraId="172645BD" w14:textId="041F39C4" w:rsidR="00655DFE" w:rsidRPr="00FF62ED" w:rsidRDefault="00655DFE" w:rsidP="00655DFE">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r>
      <w:tr w:rsidR="003D659B" w:rsidRPr="00442DC5" w14:paraId="5B7BE684" w14:textId="77777777" w:rsidTr="00E3148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95" w:type="dxa"/>
            <w:noWrap/>
            <w:hideMark/>
          </w:tcPr>
          <w:p w14:paraId="7F5AE54D" w14:textId="33C3E19C" w:rsidR="003D659B" w:rsidRPr="00655DFE" w:rsidRDefault="5BD6BE3F" w:rsidP="00B34E09">
            <w:pPr>
              <w:spacing w:before="0" w:after="0" w:line="240" w:lineRule="auto"/>
              <w:rPr>
                <w:rFonts w:eastAsia="Times New Roman" w:cs="Calibri"/>
                <w:color w:val="000000"/>
                <w:sz w:val="20"/>
                <w:szCs w:val="20"/>
              </w:rPr>
            </w:pPr>
            <w:r w:rsidRPr="727BFE15">
              <w:rPr>
                <w:rFonts w:eastAsia="Times New Roman" w:cs="Calibri"/>
                <w:color w:val="000000"/>
                <w:sz w:val="20"/>
                <w:szCs w:val="20"/>
              </w:rPr>
              <w:t xml:space="preserve">Total </w:t>
            </w:r>
            <w:r w:rsidR="018FF83C" w:rsidRPr="727BFE15">
              <w:rPr>
                <w:rFonts w:eastAsia="Times New Roman" w:cs="Calibri"/>
                <w:color w:val="000000"/>
                <w:sz w:val="20"/>
                <w:szCs w:val="20"/>
              </w:rPr>
              <w:t>o</w:t>
            </w:r>
            <w:r w:rsidRPr="727BFE15">
              <w:rPr>
                <w:rFonts w:eastAsia="Times New Roman" w:cs="Calibri"/>
                <w:color w:val="000000"/>
                <w:sz w:val="20"/>
                <w:szCs w:val="20"/>
              </w:rPr>
              <w:t>perati</w:t>
            </w:r>
            <w:r w:rsidR="03DBB5B2" w:rsidRPr="727BFE15">
              <w:rPr>
                <w:rFonts w:eastAsia="Times New Roman" w:cs="Calibri"/>
                <w:color w:val="000000"/>
                <w:sz w:val="20"/>
                <w:szCs w:val="20"/>
              </w:rPr>
              <w:t>ng</w:t>
            </w:r>
            <w:r w:rsidR="018FF83C" w:rsidRPr="727BFE15">
              <w:rPr>
                <w:rFonts w:eastAsia="Times New Roman" w:cs="Calibri"/>
                <w:color w:val="000000"/>
                <w:sz w:val="20"/>
                <w:szCs w:val="20"/>
              </w:rPr>
              <w:t xml:space="preserve"> costs</w:t>
            </w:r>
          </w:p>
        </w:tc>
        <w:tc>
          <w:tcPr>
            <w:tcW w:w="5939" w:type="dxa"/>
            <w:noWrap/>
            <w:hideMark/>
          </w:tcPr>
          <w:p w14:paraId="5D1BC477" w14:textId="77777777" w:rsidR="003D659B" w:rsidRPr="00655DFE" w:rsidRDefault="003D659B" w:rsidP="00B34E09">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rPr>
            </w:pPr>
          </w:p>
        </w:tc>
        <w:tc>
          <w:tcPr>
            <w:tcW w:w="1640" w:type="dxa"/>
            <w:noWrap/>
          </w:tcPr>
          <w:p w14:paraId="0D4CEF10" w14:textId="3CF7D278" w:rsidR="003D659B" w:rsidRPr="00FF62ED" w:rsidRDefault="003D659B" w:rsidP="0041131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highlight w:val="magenta"/>
              </w:rPr>
            </w:pPr>
          </w:p>
        </w:tc>
      </w:tr>
      <w:tr w:rsidR="003D659B" w:rsidRPr="00442DC5" w14:paraId="4C7135B3" w14:textId="77777777" w:rsidTr="00E3148E">
        <w:trPr>
          <w:trHeight w:val="288"/>
        </w:trPr>
        <w:tc>
          <w:tcPr>
            <w:cnfStyle w:val="001000000000" w:firstRow="0" w:lastRow="0" w:firstColumn="1" w:lastColumn="0" w:oddVBand="0" w:evenVBand="0" w:oddHBand="0" w:evenHBand="0" w:firstRowFirstColumn="0" w:firstRowLastColumn="0" w:lastRowFirstColumn="0" w:lastRowLastColumn="0"/>
            <w:tcW w:w="2695" w:type="dxa"/>
            <w:noWrap/>
          </w:tcPr>
          <w:p w14:paraId="3B474E83" w14:textId="4CE59596" w:rsidR="003D659B" w:rsidRPr="00722C5B" w:rsidRDefault="5BD6BE3F" w:rsidP="00B34E09">
            <w:pPr>
              <w:spacing w:before="0" w:after="0" w:line="240" w:lineRule="auto"/>
              <w:rPr>
                <w:rFonts w:eastAsia="Times New Roman" w:cs="Calibri"/>
                <w:color w:val="000000"/>
                <w:sz w:val="20"/>
                <w:szCs w:val="20"/>
              </w:rPr>
            </w:pPr>
            <w:r w:rsidRPr="727BFE15">
              <w:rPr>
                <w:rFonts w:eastAsia="Times New Roman" w:cs="Calibri"/>
                <w:color w:val="000000"/>
                <w:sz w:val="20"/>
                <w:szCs w:val="20"/>
              </w:rPr>
              <w:t xml:space="preserve">Total Program </w:t>
            </w:r>
            <w:r w:rsidR="018FF83C" w:rsidRPr="727BFE15">
              <w:rPr>
                <w:rFonts w:eastAsia="Times New Roman" w:cs="Calibri"/>
                <w:color w:val="000000"/>
                <w:sz w:val="20"/>
                <w:szCs w:val="20"/>
              </w:rPr>
              <w:t>b</w:t>
            </w:r>
            <w:r w:rsidRPr="727BFE15">
              <w:rPr>
                <w:rFonts w:eastAsia="Times New Roman" w:cs="Calibri"/>
                <w:color w:val="000000"/>
                <w:sz w:val="20"/>
                <w:szCs w:val="20"/>
              </w:rPr>
              <w:t>udget</w:t>
            </w:r>
          </w:p>
        </w:tc>
        <w:tc>
          <w:tcPr>
            <w:tcW w:w="5939" w:type="dxa"/>
            <w:noWrap/>
          </w:tcPr>
          <w:p w14:paraId="399BDB65" w14:textId="3C56096B" w:rsidR="003D659B" w:rsidRPr="008A7566" w:rsidRDefault="5BD6BE3F" w:rsidP="00B34E0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rPr>
            </w:pPr>
            <w:r w:rsidRPr="727BFE15">
              <w:rPr>
                <w:rFonts w:eastAsia="Times New Roman" w:cs="Calibri"/>
                <w:b/>
                <w:bCs/>
                <w:color w:val="000000"/>
                <w:sz w:val="20"/>
                <w:szCs w:val="20"/>
              </w:rPr>
              <w:t xml:space="preserve">Capital + </w:t>
            </w:r>
            <w:r w:rsidR="018FF83C" w:rsidRPr="727BFE15">
              <w:rPr>
                <w:rFonts w:eastAsia="Times New Roman" w:cs="Calibri"/>
                <w:b/>
                <w:bCs/>
                <w:color w:val="000000"/>
                <w:sz w:val="20"/>
                <w:szCs w:val="20"/>
              </w:rPr>
              <w:t>s</w:t>
            </w:r>
            <w:r w:rsidR="3BD7B068" w:rsidRPr="727BFE15">
              <w:rPr>
                <w:rFonts w:eastAsia="Times New Roman" w:cs="Calibri"/>
                <w:b/>
                <w:bCs/>
                <w:color w:val="000000"/>
                <w:sz w:val="20"/>
                <w:szCs w:val="20"/>
              </w:rPr>
              <w:t>tart</w:t>
            </w:r>
            <w:r w:rsidR="018FF83C" w:rsidRPr="727BFE15">
              <w:rPr>
                <w:rFonts w:eastAsia="Times New Roman" w:cs="Calibri"/>
                <w:b/>
                <w:bCs/>
                <w:color w:val="000000"/>
                <w:sz w:val="20"/>
                <w:szCs w:val="20"/>
              </w:rPr>
              <w:t>-</w:t>
            </w:r>
            <w:r w:rsidR="3BD7B068" w:rsidRPr="727BFE15">
              <w:rPr>
                <w:rFonts w:eastAsia="Times New Roman" w:cs="Calibri"/>
                <w:b/>
                <w:bCs/>
                <w:color w:val="000000"/>
                <w:sz w:val="20"/>
                <w:szCs w:val="20"/>
              </w:rPr>
              <w:t xml:space="preserve">up + </w:t>
            </w:r>
            <w:r w:rsidR="018FF83C" w:rsidRPr="727BFE15">
              <w:rPr>
                <w:rFonts w:eastAsia="Times New Roman" w:cs="Calibri"/>
                <w:b/>
                <w:bCs/>
                <w:color w:val="000000"/>
                <w:sz w:val="20"/>
                <w:szCs w:val="20"/>
              </w:rPr>
              <w:t>r</w:t>
            </w:r>
            <w:r w:rsidRPr="727BFE15">
              <w:rPr>
                <w:rFonts w:eastAsia="Times New Roman" w:cs="Calibri"/>
                <w:b/>
                <w:bCs/>
                <w:color w:val="000000"/>
                <w:sz w:val="20"/>
                <w:szCs w:val="20"/>
              </w:rPr>
              <w:t xml:space="preserve">isk </w:t>
            </w:r>
            <w:r w:rsidR="018FF83C" w:rsidRPr="727BFE15">
              <w:rPr>
                <w:rFonts w:eastAsia="Times New Roman" w:cs="Calibri"/>
                <w:b/>
                <w:bCs/>
                <w:color w:val="000000"/>
                <w:sz w:val="20"/>
                <w:szCs w:val="20"/>
              </w:rPr>
              <w:t>m</w:t>
            </w:r>
            <w:r w:rsidRPr="727BFE15">
              <w:rPr>
                <w:rFonts w:eastAsia="Times New Roman" w:cs="Calibri"/>
                <w:b/>
                <w:bCs/>
                <w:color w:val="000000"/>
                <w:sz w:val="20"/>
                <w:szCs w:val="20"/>
              </w:rPr>
              <w:t xml:space="preserve">anagement + </w:t>
            </w:r>
            <w:r w:rsidR="018FF83C" w:rsidRPr="727BFE15">
              <w:rPr>
                <w:rFonts w:eastAsia="Times New Roman" w:cs="Calibri"/>
                <w:b/>
                <w:bCs/>
                <w:color w:val="000000"/>
                <w:sz w:val="20"/>
                <w:szCs w:val="20"/>
              </w:rPr>
              <w:t>o</w:t>
            </w:r>
            <w:r w:rsidRPr="727BFE15">
              <w:rPr>
                <w:rFonts w:eastAsia="Times New Roman" w:cs="Calibri"/>
                <w:b/>
                <w:bCs/>
                <w:color w:val="000000"/>
                <w:sz w:val="20"/>
                <w:szCs w:val="20"/>
              </w:rPr>
              <w:t>perating</w:t>
            </w:r>
            <w:r w:rsidR="018FF83C" w:rsidRPr="727BFE15">
              <w:rPr>
                <w:rFonts w:eastAsia="Times New Roman" w:cs="Calibri"/>
                <w:b/>
                <w:bCs/>
                <w:color w:val="000000"/>
                <w:sz w:val="20"/>
                <w:szCs w:val="20"/>
              </w:rPr>
              <w:t xml:space="preserve"> costs</w:t>
            </w:r>
          </w:p>
        </w:tc>
        <w:tc>
          <w:tcPr>
            <w:tcW w:w="1640" w:type="dxa"/>
            <w:noWrap/>
          </w:tcPr>
          <w:p w14:paraId="2B3C896F" w14:textId="0A521D43" w:rsidR="003D659B" w:rsidRPr="00FF62ED" w:rsidRDefault="003D659B" w:rsidP="0041131C">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highlight w:val="magenta"/>
              </w:rPr>
            </w:pPr>
          </w:p>
        </w:tc>
      </w:tr>
    </w:tbl>
    <w:p w14:paraId="5EF0851F" w14:textId="4D48ED6F" w:rsidR="00F479B2" w:rsidRDefault="00F479B2" w:rsidP="00DC7A47"/>
    <w:p w14:paraId="46C6020B" w14:textId="77777777" w:rsidR="00FD3B7C" w:rsidRDefault="00FD3B7C">
      <w:pPr>
        <w:spacing w:before="0" w:after="0" w:line="240" w:lineRule="auto"/>
      </w:pPr>
      <w:r>
        <w:br w:type="page"/>
      </w:r>
    </w:p>
    <w:p w14:paraId="01C991CC" w14:textId="669A1199" w:rsidR="00FD3B7C" w:rsidRDefault="77EB3057" w:rsidP="00DC7A47">
      <w:r>
        <w:t xml:space="preserve">Funding sources for the budgeted line items are proposed as </w:t>
      </w:r>
      <w:r w:rsidR="7DE9AECB">
        <w:t xml:space="preserve">shown in </w:t>
      </w:r>
      <w:r w:rsidR="7DE9AECB" w:rsidRPr="727BFE15">
        <w:rPr>
          <w:b/>
          <w:bCs/>
        </w:rPr>
        <w:t xml:space="preserve">Table </w:t>
      </w:r>
      <w:r w:rsidR="32F0D0CB" w:rsidRPr="727BFE15">
        <w:rPr>
          <w:b/>
          <w:bCs/>
        </w:rPr>
        <w:t>1</w:t>
      </w:r>
      <w:r w:rsidR="018FF83C" w:rsidRPr="727BFE15">
        <w:rPr>
          <w:b/>
          <w:bCs/>
        </w:rPr>
        <w:t>4</w:t>
      </w:r>
      <w:r w:rsidR="7DE9AECB">
        <w:t>.</w:t>
      </w:r>
      <w:r w:rsidR="571DA963">
        <w:t xml:space="preserve"> </w:t>
      </w:r>
    </w:p>
    <w:p w14:paraId="241616D5" w14:textId="324EAE49" w:rsidR="00AF41A2" w:rsidRPr="00976399" w:rsidRDefault="4B014777" w:rsidP="00DC7A47">
      <w:pPr>
        <w:rPr>
          <w:b/>
          <w:bCs/>
        </w:rPr>
      </w:pPr>
      <w:r w:rsidRPr="727BFE15">
        <w:rPr>
          <w:b/>
          <w:bCs/>
        </w:rPr>
        <w:t xml:space="preserve">Table </w:t>
      </w:r>
      <w:r w:rsidR="784EE474" w:rsidRPr="727BFE15">
        <w:rPr>
          <w:b/>
          <w:bCs/>
        </w:rPr>
        <w:t>1</w:t>
      </w:r>
      <w:r w:rsidR="018FF83C" w:rsidRPr="727BFE15">
        <w:rPr>
          <w:b/>
          <w:bCs/>
        </w:rPr>
        <w:t>4</w:t>
      </w:r>
      <w:r w:rsidRPr="727BFE15">
        <w:rPr>
          <w:b/>
          <w:bCs/>
        </w:rPr>
        <w:t xml:space="preserve">. Proposed </w:t>
      </w:r>
      <w:r w:rsidR="018FF83C" w:rsidRPr="727BFE15">
        <w:rPr>
          <w:b/>
          <w:bCs/>
        </w:rPr>
        <w:t>f</w:t>
      </w:r>
      <w:r w:rsidRPr="727BFE15">
        <w:rPr>
          <w:b/>
          <w:bCs/>
        </w:rPr>
        <w:t xml:space="preserve">unding </w:t>
      </w:r>
      <w:r w:rsidR="018FF83C" w:rsidRPr="727BFE15">
        <w:rPr>
          <w:b/>
          <w:bCs/>
        </w:rPr>
        <w:t>s</w:t>
      </w:r>
      <w:r w:rsidRPr="727BFE15">
        <w:rPr>
          <w:b/>
          <w:bCs/>
        </w:rPr>
        <w:t>ources</w:t>
      </w:r>
    </w:p>
    <w:tbl>
      <w:tblPr>
        <w:tblStyle w:val="GridTable4-Accent1"/>
        <w:tblW w:w="8815" w:type="dxa"/>
        <w:tblLook w:val="04A0" w:firstRow="1" w:lastRow="0" w:firstColumn="1" w:lastColumn="0" w:noHBand="0" w:noVBand="1"/>
      </w:tblPr>
      <w:tblGrid>
        <w:gridCol w:w="3325"/>
        <w:gridCol w:w="1800"/>
        <w:gridCol w:w="3690"/>
      </w:tblGrid>
      <w:tr w:rsidR="000C4A27" w:rsidRPr="00442DC5" w14:paraId="10A0E151" w14:textId="77777777" w:rsidTr="007152A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tcPr>
          <w:p w14:paraId="3454D355" w14:textId="31B56347" w:rsidR="000C4A27" w:rsidRPr="00442DC5" w:rsidRDefault="0EF68744" w:rsidP="000C4A27">
            <w:pPr>
              <w:spacing w:before="0" w:after="0" w:line="240" w:lineRule="auto"/>
              <w:rPr>
                <w:rFonts w:eastAsia="Times New Roman" w:cs="Calibri"/>
                <w:color w:val="000000"/>
                <w:sz w:val="20"/>
                <w:szCs w:val="20"/>
              </w:rPr>
            </w:pPr>
            <w:r w:rsidRPr="727BFE15">
              <w:rPr>
                <w:rFonts w:eastAsia="Times New Roman" w:cs="Calibri"/>
                <w:color w:val="000000"/>
                <w:sz w:val="20"/>
                <w:szCs w:val="20"/>
              </w:rPr>
              <w:t xml:space="preserve">Line </w:t>
            </w:r>
            <w:r w:rsidR="018FF83C" w:rsidRPr="727BFE15">
              <w:rPr>
                <w:rFonts w:eastAsia="Times New Roman" w:cs="Calibri"/>
                <w:color w:val="000000"/>
                <w:sz w:val="20"/>
                <w:szCs w:val="20"/>
              </w:rPr>
              <w:t>i</w:t>
            </w:r>
            <w:r w:rsidRPr="727BFE15">
              <w:rPr>
                <w:rFonts w:eastAsia="Times New Roman" w:cs="Calibri"/>
                <w:color w:val="000000"/>
                <w:sz w:val="20"/>
                <w:szCs w:val="20"/>
              </w:rPr>
              <w:t>tem</w:t>
            </w:r>
          </w:p>
        </w:tc>
        <w:tc>
          <w:tcPr>
            <w:tcW w:w="1800" w:type="dxa"/>
          </w:tcPr>
          <w:p w14:paraId="479217CB" w14:textId="6EB2648E" w:rsidR="000C4A27" w:rsidRPr="00442DC5" w:rsidRDefault="0EF68744" w:rsidP="000C4A2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727BFE15">
              <w:rPr>
                <w:rFonts w:eastAsia="Times New Roman" w:cs="Calibri"/>
                <w:color w:val="000000"/>
                <w:sz w:val="20"/>
                <w:szCs w:val="20"/>
              </w:rPr>
              <w:t xml:space="preserve">Budget </w:t>
            </w:r>
            <w:r w:rsidR="018FF83C" w:rsidRPr="727BFE15">
              <w:rPr>
                <w:rFonts w:eastAsia="Times New Roman" w:cs="Calibri"/>
                <w:color w:val="000000"/>
                <w:sz w:val="20"/>
                <w:szCs w:val="20"/>
              </w:rPr>
              <w:t>a</w:t>
            </w:r>
            <w:r w:rsidRPr="727BFE15">
              <w:rPr>
                <w:rFonts w:eastAsia="Times New Roman" w:cs="Calibri"/>
                <w:color w:val="000000"/>
                <w:sz w:val="20"/>
                <w:szCs w:val="20"/>
              </w:rPr>
              <w:t>mount</w:t>
            </w:r>
          </w:p>
        </w:tc>
        <w:tc>
          <w:tcPr>
            <w:tcW w:w="3690" w:type="dxa"/>
            <w:noWrap/>
          </w:tcPr>
          <w:p w14:paraId="353C412A" w14:textId="6B65FA5A" w:rsidR="000C4A27" w:rsidRPr="00442DC5" w:rsidRDefault="0EF68744" w:rsidP="000C4A2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727BFE15">
              <w:rPr>
                <w:rFonts w:eastAsia="Times New Roman" w:cs="Calibri"/>
                <w:color w:val="000000"/>
                <w:sz w:val="20"/>
                <w:szCs w:val="20"/>
              </w:rPr>
              <w:t xml:space="preserve">Explanatory </w:t>
            </w:r>
            <w:r w:rsidR="018FF83C" w:rsidRPr="727BFE15">
              <w:rPr>
                <w:rFonts w:eastAsia="Times New Roman" w:cs="Calibri"/>
                <w:color w:val="000000"/>
                <w:sz w:val="20"/>
                <w:szCs w:val="20"/>
              </w:rPr>
              <w:t>n</w:t>
            </w:r>
            <w:r w:rsidRPr="727BFE15">
              <w:rPr>
                <w:rFonts w:eastAsia="Times New Roman" w:cs="Calibri"/>
                <w:color w:val="000000"/>
                <w:sz w:val="20"/>
                <w:szCs w:val="20"/>
              </w:rPr>
              <w:t>otes</w:t>
            </w:r>
          </w:p>
        </w:tc>
      </w:tr>
      <w:tr w:rsidR="000C4A27" w:rsidRPr="00442DC5" w14:paraId="19684197" w14:textId="77777777" w:rsidTr="00715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1FBE17F7" w14:textId="77777777" w:rsidR="000C4A27" w:rsidRPr="00DA11BF" w:rsidRDefault="000C4A27" w:rsidP="000C4A27">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TOB capital contribution</w:t>
            </w:r>
          </w:p>
        </w:tc>
        <w:tc>
          <w:tcPr>
            <w:tcW w:w="1800" w:type="dxa"/>
          </w:tcPr>
          <w:p w14:paraId="546A07D0" w14:textId="1C421AD4" w:rsidR="000C4A27" w:rsidRPr="00FF62ED" w:rsidRDefault="000C4A27" w:rsidP="000C4A2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c>
          <w:tcPr>
            <w:tcW w:w="3690" w:type="dxa"/>
            <w:noWrap/>
            <w:hideMark/>
          </w:tcPr>
          <w:p w14:paraId="5AAA1FD8" w14:textId="11125EA2" w:rsidR="000C4A27" w:rsidRPr="00DA11BF" w:rsidRDefault="71A4111A" w:rsidP="000C4A2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t>Public or private bonds</w:t>
            </w:r>
            <w:r w:rsidR="674226E9">
              <w:t xml:space="preserve"> or other debt financing</w:t>
            </w:r>
            <w:r w:rsidR="7653958E">
              <w:t>, secured by ratepayer revenues and possibly DOE guarantees</w:t>
            </w:r>
          </w:p>
        </w:tc>
      </w:tr>
      <w:tr w:rsidR="000C4A27" w:rsidRPr="00DA11BF" w14:paraId="67837B88" w14:textId="77777777" w:rsidTr="007152AD">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4FA9038A" w14:textId="77777777" w:rsidR="000C4A27" w:rsidRPr="00DA11BF" w:rsidRDefault="000C4A27" w:rsidP="000C4A27">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Utility incentives</w:t>
            </w:r>
          </w:p>
        </w:tc>
        <w:tc>
          <w:tcPr>
            <w:tcW w:w="1800" w:type="dxa"/>
          </w:tcPr>
          <w:p w14:paraId="18FF5564" w14:textId="2F0BFD00" w:rsidR="000C4A27" w:rsidRPr="00FF62ED" w:rsidRDefault="000C4A27" w:rsidP="000C4A2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c>
          <w:tcPr>
            <w:tcW w:w="3690" w:type="dxa"/>
            <w:noWrap/>
            <w:hideMark/>
          </w:tcPr>
          <w:p w14:paraId="21F99C20" w14:textId="5D9AE809" w:rsidR="000C4A27" w:rsidRPr="00DA11BF" w:rsidRDefault="0FDD3C5B" w:rsidP="000C4A2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727BFE15">
              <w:rPr>
                <w:rFonts w:eastAsia="Times New Roman" w:cs="Calibri"/>
                <w:color w:val="000000"/>
                <w:sz w:val="20"/>
                <w:szCs w:val="20"/>
              </w:rPr>
              <w:t>Previously budgeted</w:t>
            </w:r>
            <w:r w:rsidR="63D594D4" w:rsidRPr="727BFE15">
              <w:rPr>
                <w:rFonts w:eastAsia="Times New Roman" w:cs="Calibri"/>
                <w:color w:val="000000"/>
                <w:sz w:val="20"/>
                <w:szCs w:val="20"/>
              </w:rPr>
              <w:t xml:space="preserve"> public</w:t>
            </w:r>
            <w:r w:rsidR="018FF83C" w:rsidRPr="727BFE15">
              <w:rPr>
                <w:rFonts w:eastAsia="Times New Roman" w:cs="Calibri"/>
                <w:color w:val="000000"/>
                <w:sz w:val="20"/>
                <w:szCs w:val="20"/>
              </w:rPr>
              <w:t>-</w:t>
            </w:r>
            <w:r w:rsidR="63D594D4" w:rsidRPr="727BFE15">
              <w:rPr>
                <w:rFonts w:eastAsia="Times New Roman" w:cs="Calibri"/>
                <w:color w:val="000000"/>
                <w:sz w:val="20"/>
                <w:szCs w:val="20"/>
              </w:rPr>
              <w:t>purpose charge funds; possible</w:t>
            </w:r>
            <w:r w:rsidR="69D4D5D0" w:rsidRPr="727BFE15">
              <w:rPr>
                <w:rFonts w:eastAsia="Times New Roman" w:cs="Calibri"/>
                <w:color w:val="000000"/>
                <w:sz w:val="20"/>
                <w:szCs w:val="20"/>
              </w:rPr>
              <w:t xml:space="preserve"> </w:t>
            </w:r>
            <w:r w:rsidR="018FF83C" w:rsidRPr="727BFE15">
              <w:rPr>
                <w:rFonts w:eastAsia="Times New Roman" w:cs="Calibri"/>
                <w:color w:val="000000"/>
                <w:sz w:val="20"/>
                <w:szCs w:val="20"/>
              </w:rPr>
              <w:t>S</w:t>
            </w:r>
            <w:r w:rsidR="69D4D5D0" w:rsidRPr="727BFE15">
              <w:rPr>
                <w:rFonts w:eastAsia="Times New Roman" w:cs="Calibri"/>
                <w:color w:val="000000"/>
                <w:sz w:val="20"/>
                <w:szCs w:val="20"/>
              </w:rPr>
              <w:t>tate &amp; federal funds, including tax credits</w:t>
            </w:r>
          </w:p>
        </w:tc>
      </w:tr>
      <w:tr w:rsidR="000C4A27" w:rsidRPr="00442DC5" w14:paraId="0FF2A8E6" w14:textId="77777777" w:rsidTr="00715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3A26F6D5" w14:textId="2E895B23" w:rsidR="000C4A27" w:rsidRPr="00DA11BF" w:rsidRDefault="0EF68744" w:rsidP="000C4A27">
            <w:pPr>
              <w:spacing w:before="0" w:after="0" w:line="240" w:lineRule="auto"/>
              <w:rPr>
                <w:rFonts w:eastAsia="Times New Roman" w:cs="Calibri"/>
                <w:b w:val="0"/>
                <w:bCs w:val="0"/>
                <w:color w:val="000000"/>
                <w:sz w:val="20"/>
                <w:szCs w:val="20"/>
              </w:rPr>
            </w:pPr>
            <w:r w:rsidRPr="727BFE15">
              <w:rPr>
                <w:rFonts w:eastAsia="Times New Roman" w:cs="Calibri"/>
                <w:b w:val="0"/>
                <w:bCs w:val="0"/>
                <w:color w:val="000000"/>
                <w:sz w:val="20"/>
                <w:szCs w:val="20"/>
              </w:rPr>
              <w:t>Customer co</w:t>
            </w:r>
            <w:r w:rsidR="274EAD5F" w:rsidRPr="727BFE15">
              <w:rPr>
                <w:rFonts w:eastAsia="Times New Roman" w:cs="Calibri"/>
                <w:b w:val="0"/>
                <w:bCs w:val="0"/>
                <w:color w:val="000000"/>
                <w:sz w:val="20"/>
                <w:szCs w:val="20"/>
              </w:rPr>
              <w:t>-</w:t>
            </w:r>
            <w:r w:rsidRPr="727BFE15">
              <w:rPr>
                <w:rFonts w:eastAsia="Times New Roman" w:cs="Calibri"/>
                <w:b w:val="0"/>
                <w:bCs w:val="0"/>
                <w:color w:val="000000"/>
                <w:sz w:val="20"/>
                <w:szCs w:val="20"/>
              </w:rPr>
              <w:t>pay</w:t>
            </w:r>
          </w:p>
        </w:tc>
        <w:tc>
          <w:tcPr>
            <w:tcW w:w="1800" w:type="dxa"/>
          </w:tcPr>
          <w:p w14:paraId="6455379B" w14:textId="79F5B580" w:rsidR="000C4A27" w:rsidRPr="00FF62ED" w:rsidRDefault="000C4A27" w:rsidP="000C4A2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highlight w:val="magenta"/>
              </w:rPr>
            </w:pPr>
          </w:p>
        </w:tc>
        <w:tc>
          <w:tcPr>
            <w:tcW w:w="3690" w:type="dxa"/>
            <w:noWrap/>
            <w:hideMark/>
          </w:tcPr>
          <w:p w14:paraId="03D82ED6" w14:textId="487FE6A4" w:rsidR="000C4A27" w:rsidRPr="00DA11BF" w:rsidRDefault="00853BEE" w:rsidP="000C4A2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Participating customers</w:t>
            </w:r>
          </w:p>
        </w:tc>
      </w:tr>
      <w:tr w:rsidR="000C4A27" w:rsidRPr="00DA11BF" w14:paraId="1A3A1067" w14:textId="77777777" w:rsidTr="007152AD">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6B463B1F" w14:textId="77777777" w:rsidR="000C4A27" w:rsidRPr="00DA11BF" w:rsidRDefault="000C4A27" w:rsidP="000C4A27">
            <w:pPr>
              <w:spacing w:before="0" w:after="0" w:line="240" w:lineRule="auto"/>
              <w:rPr>
                <w:rFonts w:eastAsia="Times New Roman" w:cs="Calibri"/>
                <w:b w:val="0"/>
                <w:bCs w:val="0"/>
                <w:color w:val="000000"/>
                <w:sz w:val="20"/>
                <w:szCs w:val="20"/>
              </w:rPr>
            </w:pPr>
            <w:r>
              <w:rPr>
                <w:rFonts w:eastAsia="Times New Roman" w:cs="Calibri"/>
                <w:b w:val="0"/>
                <w:bCs w:val="0"/>
                <w:color w:val="000000"/>
                <w:sz w:val="20"/>
                <w:szCs w:val="20"/>
              </w:rPr>
              <w:t>C</w:t>
            </w:r>
            <w:r w:rsidRPr="00DA11BF">
              <w:rPr>
                <w:rFonts w:eastAsia="Times New Roman" w:cs="Calibri"/>
                <w:b w:val="0"/>
                <w:bCs w:val="0"/>
                <w:color w:val="000000"/>
                <w:sz w:val="20"/>
                <w:szCs w:val="20"/>
              </w:rPr>
              <w:t>ost of TOB capital</w:t>
            </w:r>
          </w:p>
        </w:tc>
        <w:tc>
          <w:tcPr>
            <w:tcW w:w="1800" w:type="dxa"/>
          </w:tcPr>
          <w:p w14:paraId="4F7F6C01" w14:textId="6240DACC" w:rsidR="000C4A27" w:rsidRPr="00FF62ED" w:rsidRDefault="000C4A27" w:rsidP="000C4A2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c>
          <w:tcPr>
            <w:tcW w:w="3690" w:type="dxa"/>
            <w:noWrap/>
            <w:hideMark/>
          </w:tcPr>
          <w:p w14:paraId="0056FD9D" w14:textId="69FD089D" w:rsidR="000C4A27" w:rsidRPr="00DA11BF" w:rsidRDefault="0479BC93" w:rsidP="000C4A27">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sidRPr="727BFE15">
              <w:rPr>
                <w:rFonts w:eastAsia="Times New Roman" w:cs="Calibri"/>
                <w:color w:val="000000"/>
                <w:sz w:val="20"/>
                <w:szCs w:val="20"/>
              </w:rPr>
              <w:t>Ratepayers: public</w:t>
            </w:r>
            <w:r w:rsidR="274EAD5F" w:rsidRPr="727BFE15">
              <w:rPr>
                <w:rFonts w:eastAsia="Times New Roman" w:cs="Calibri"/>
                <w:color w:val="000000"/>
                <w:sz w:val="20"/>
                <w:szCs w:val="20"/>
              </w:rPr>
              <w:t>-</w:t>
            </w:r>
            <w:r w:rsidRPr="727BFE15">
              <w:rPr>
                <w:rFonts w:eastAsia="Times New Roman" w:cs="Calibri"/>
                <w:color w:val="000000"/>
                <w:sz w:val="20"/>
                <w:szCs w:val="20"/>
              </w:rPr>
              <w:t>purpose charge funds</w:t>
            </w:r>
          </w:p>
        </w:tc>
      </w:tr>
      <w:tr w:rsidR="000C4A27" w:rsidRPr="00442DC5" w14:paraId="25ABB7ED" w14:textId="77777777" w:rsidTr="00715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tcPr>
          <w:p w14:paraId="2625227B" w14:textId="77777777" w:rsidR="000C4A27" w:rsidRPr="00AF41A2" w:rsidRDefault="000C4A27" w:rsidP="000C4A27">
            <w:pPr>
              <w:spacing w:before="0" w:after="0" w:line="240" w:lineRule="auto"/>
              <w:rPr>
                <w:rFonts w:eastAsia="Times New Roman" w:cs="Calibri"/>
                <w:b w:val="0"/>
                <w:bCs w:val="0"/>
                <w:color w:val="000000"/>
                <w:sz w:val="20"/>
                <w:szCs w:val="20"/>
              </w:rPr>
            </w:pPr>
            <w:r w:rsidRPr="00AF41A2">
              <w:rPr>
                <w:rFonts w:eastAsia="Times New Roman" w:cs="Calibri"/>
                <w:b w:val="0"/>
                <w:bCs w:val="0"/>
                <w:color w:val="000000"/>
                <w:sz w:val="20"/>
                <w:szCs w:val="20"/>
              </w:rPr>
              <w:t>Start-up costs</w:t>
            </w:r>
          </w:p>
        </w:tc>
        <w:tc>
          <w:tcPr>
            <w:tcW w:w="1800" w:type="dxa"/>
          </w:tcPr>
          <w:p w14:paraId="340DE550" w14:textId="6D16A224" w:rsidR="000C4A27" w:rsidRPr="00FF62ED" w:rsidRDefault="000C4A27" w:rsidP="000C4A2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highlight w:val="magenta"/>
              </w:rPr>
            </w:pPr>
          </w:p>
        </w:tc>
        <w:tc>
          <w:tcPr>
            <w:tcW w:w="3690" w:type="dxa"/>
            <w:noWrap/>
          </w:tcPr>
          <w:p w14:paraId="79A89D33" w14:textId="18F3F788" w:rsidR="000C4A27" w:rsidRPr="00AF41A2" w:rsidRDefault="000C4A27" w:rsidP="000C4A27">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p>
        </w:tc>
      </w:tr>
      <w:tr w:rsidR="00F57B2F" w:rsidRPr="00442DC5" w14:paraId="3739A501" w14:textId="77777777" w:rsidTr="007152AD">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FE5E71E" w14:textId="64BA52C6" w:rsidR="00F57B2F" w:rsidRPr="003C6304" w:rsidRDefault="265A7885" w:rsidP="00F57B2F">
            <w:pPr>
              <w:spacing w:before="0" w:after="0" w:line="240" w:lineRule="auto"/>
              <w:rPr>
                <w:rFonts w:eastAsia="Times New Roman"/>
                <w:b w:val="0"/>
                <w:bCs w:val="0"/>
                <w:color w:val="auto"/>
                <w:sz w:val="20"/>
                <w:szCs w:val="20"/>
              </w:rPr>
            </w:pPr>
            <w:r w:rsidRPr="727BFE15">
              <w:rPr>
                <w:rFonts w:eastAsia="Times New Roman"/>
                <w:b w:val="0"/>
                <w:bCs w:val="0"/>
                <w:color w:val="auto"/>
                <w:sz w:val="20"/>
                <w:szCs w:val="20"/>
              </w:rPr>
              <w:t xml:space="preserve">Risk </w:t>
            </w:r>
            <w:r w:rsidR="274EAD5F" w:rsidRPr="727BFE15">
              <w:rPr>
                <w:rFonts w:eastAsia="Times New Roman"/>
                <w:b w:val="0"/>
                <w:bCs w:val="0"/>
                <w:color w:val="auto"/>
                <w:sz w:val="20"/>
                <w:szCs w:val="20"/>
              </w:rPr>
              <w:t>m</w:t>
            </w:r>
            <w:r w:rsidRPr="727BFE15">
              <w:rPr>
                <w:rFonts w:eastAsia="Times New Roman"/>
                <w:b w:val="0"/>
                <w:bCs w:val="0"/>
                <w:color w:val="auto"/>
                <w:sz w:val="20"/>
                <w:szCs w:val="20"/>
              </w:rPr>
              <w:t>itigation</w:t>
            </w:r>
          </w:p>
        </w:tc>
        <w:tc>
          <w:tcPr>
            <w:tcW w:w="1800" w:type="dxa"/>
          </w:tcPr>
          <w:p w14:paraId="12C29B02" w14:textId="18573DB6" w:rsidR="00F57B2F" w:rsidRPr="00FF62ED" w:rsidRDefault="00F57B2F" w:rsidP="00F57B2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highlight w:val="magenta"/>
              </w:rPr>
            </w:pPr>
          </w:p>
        </w:tc>
        <w:tc>
          <w:tcPr>
            <w:tcW w:w="3690" w:type="dxa"/>
            <w:noWrap/>
          </w:tcPr>
          <w:p w14:paraId="31E06CF3" w14:textId="626BE635" w:rsidR="00F57B2F" w:rsidRPr="00F57B2F" w:rsidRDefault="00F57B2F" w:rsidP="00F57B2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auto"/>
                <w:sz w:val="20"/>
                <w:szCs w:val="20"/>
              </w:rPr>
            </w:pPr>
          </w:p>
        </w:tc>
      </w:tr>
      <w:tr w:rsidR="00F57B2F" w:rsidRPr="00442DC5" w14:paraId="45EF4D8F" w14:textId="77777777" w:rsidTr="007152A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tcPr>
          <w:p w14:paraId="397BEFB4" w14:textId="076CAB0C" w:rsidR="00F57B2F" w:rsidRPr="00DA11BF" w:rsidRDefault="00491811" w:rsidP="00491811">
            <w:pPr>
              <w:spacing w:before="0" w:after="0" w:line="240" w:lineRule="auto"/>
              <w:rPr>
                <w:rFonts w:eastAsia="Times New Roman"/>
                <w:b w:val="0"/>
                <w:bCs w:val="0"/>
                <w:color w:val="auto"/>
                <w:sz w:val="20"/>
                <w:szCs w:val="20"/>
              </w:rPr>
            </w:pPr>
            <w:r>
              <w:rPr>
                <w:rFonts w:eastAsia="Times New Roman"/>
                <w:b w:val="0"/>
                <w:bCs w:val="0"/>
                <w:color w:val="auto"/>
                <w:sz w:val="20"/>
                <w:szCs w:val="20"/>
              </w:rPr>
              <w:t>Program operating costs (partial)</w:t>
            </w:r>
          </w:p>
        </w:tc>
        <w:tc>
          <w:tcPr>
            <w:tcW w:w="1800" w:type="dxa"/>
          </w:tcPr>
          <w:p w14:paraId="46596147" w14:textId="65E721B1" w:rsidR="00F57B2F" w:rsidRPr="00FF62ED" w:rsidRDefault="00F57B2F" w:rsidP="00F57B2F">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highlight w:val="magenta"/>
              </w:rPr>
            </w:pPr>
          </w:p>
        </w:tc>
        <w:tc>
          <w:tcPr>
            <w:tcW w:w="3690" w:type="dxa"/>
            <w:noWrap/>
          </w:tcPr>
          <w:p w14:paraId="62A7AC26" w14:textId="606B7C3C" w:rsidR="00F57B2F" w:rsidRPr="00DA11BF" w:rsidRDefault="00F57B2F" w:rsidP="00F57B2F">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auto"/>
                <w:sz w:val="20"/>
                <w:szCs w:val="20"/>
              </w:rPr>
            </w:pPr>
          </w:p>
        </w:tc>
      </w:tr>
      <w:tr w:rsidR="00F57B2F" w:rsidRPr="00DA11BF" w14:paraId="61508035" w14:textId="77777777" w:rsidTr="007152AD">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087F52C6" w14:textId="77A688F3" w:rsidR="00F57B2F" w:rsidRPr="00DA11BF" w:rsidRDefault="00F57B2F" w:rsidP="00F57B2F">
            <w:pPr>
              <w:spacing w:before="0" w:after="0" w:line="240" w:lineRule="auto"/>
              <w:rPr>
                <w:rFonts w:eastAsia="Times New Roman" w:cs="Calibri"/>
                <w:b w:val="0"/>
                <w:bCs w:val="0"/>
                <w:color w:val="000000"/>
                <w:sz w:val="20"/>
                <w:szCs w:val="20"/>
              </w:rPr>
            </w:pPr>
            <w:r w:rsidRPr="00DA11BF">
              <w:rPr>
                <w:rFonts w:eastAsia="Times New Roman" w:cs="Calibri"/>
                <w:b w:val="0"/>
                <w:bCs w:val="0"/>
                <w:color w:val="000000"/>
                <w:sz w:val="20"/>
                <w:szCs w:val="20"/>
              </w:rPr>
              <w:t>Program operating costs</w:t>
            </w:r>
            <w:r w:rsidR="00DA21EC">
              <w:rPr>
                <w:rFonts w:eastAsia="Times New Roman" w:cs="Calibri"/>
                <w:b w:val="0"/>
                <w:bCs w:val="0"/>
                <w:color w:val="000000"/>
                <w:sz w:val="20"/>
                <w:szCs w:val="20"/>
              </w:rPr>
              <w:t xml:space="preserve"> (balance)</w:t>
            </w:r>
          </w:p>
        </w:tc>
        <w:tc>
          <w:tcPr>
            <w:tcW w:w="1800" w:type="dxa"/>
          </w:tcPr>
          <w:p w14:paraId="31444613" w14:textId="6F047471" w:rsidR="00F57B2F" w:rsidRPr="00FF62ED" w:rsidRDefault="00F57B2F" w:rsidP="00F57B2F">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highlight w:val="magenta"/>
              </w:rPr>
            </w:pPr>
          </w:p>
        </w:tc>
        <w:tc>
          <w:tcPr>
            <w:tcW w:w="3690" w:type="dxa"/>
            <w:noWrap/>
            <w:hideMark/>
          </w:tcPr>
          <w:p w14:paraId="17973805" w14:textId="0AF52193" w:rsidR="00F57B2F" w:rsidRPr="00DA11BF" w:rsidRDefault="00AA7B3E" w:rsidP="00F57B2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rPr>
            </w:pPr>
            <w:r>
              <w:rPr>
                <w:rFonts w:eastAsia="Times New Roman" w:cs="Calibri"/>
                <w:color w:val="000000"/>
                <w:sz w:val="20"/>
                <w:szCs w:val="20"/>
              </w:rPr>
              <w:t>Ratepayers: public purpose charge funds</w:t>
            </w:r>
          </w:p>
        </w:tc>
      </w:tr>
    </w:tbl>
    <w:p w14:paraId="75E7AECF" w14:textId="77777777" w:rsidR="00DC7A47" w:rsidRDefault="00DC7A47" w:rsidP="00DC7A47"/>
    <w:p w14:paraId="153A3E88" w14:textId="2AEE83A2" w:rsidR="004F157A" w:rsidRDefault="004F157A" w:rsidP="002766C2">
      <w:pPr>
        <w:pStyle w:val="Heading2"/>
      </w:pPr>
      <w:bookmarkStart w:id="42" w:name="_Toc98921612"/>
      <w:r>
        <w:t>Forecasted Benefit</w:t>
      </w:r>
      <w:r w:rsidR="002766C2">
        <w:t>s</w:t>
      </w:r>
      <w:bookmarkEnd w:id="42"/>
    </w:p>
    <w:p w14:paraId="53606A22" w14:textId="77777777" w:rsidR="00D656FB" w:rsidRPr="00D656FB" w:rsidRDefault="274EAD5F" w:rsidP="727BFE15">
      <w:pPr>
        <w:rPr>
          <w:i/>
          <w:iCs/>
        </w:rPr>
      </w:pPr>
      <w:r w:rsidRPr="727BFE15">
        <w:rPr>
          <w:i/>
          <w:iCs/>
        </w:rPr>
        <w:t>From the CPUC:</w:t>
      </w:r>
    </w:p>
    <w:p w14:paraId="2DF476D8" w14:textId="77777777" w:rsidR="00D656FB" w:rsidRPr="00D656FB" w:rsidRDefault="274EAD5F" w:rsidP="727BFE15">
      <w:pPr>
        <w:ind w:left="360"/>
        <w:rPr>
          <w:i/>
          <w:iCs/>
        </w:rPr>
      </w:pPr>
      <w:r w:rsidRPr="727BFE15">
        <w:rPr>
          <w:i/>
          <w:iCs/>
        </w:rPr>
        <w:t>What are the forecasted benefits, energy and/or GHG savings, if any, from this program at the sector, customer type (SF, MF, DAC, HTR, etc.), and measure/technology/project levels?</w:t>
      </w:r>
    </w:p>
    <w:p w14:paraId="03721012" w14:textId="77777777" w:rsidR="00D656FB" w:rsidRDefault="274EAD5F" w:rsidP="00B11D9D">
      <w:r>
        <w:t>[</w:t>
      </w:r>
      <w:r w:rsidR="4583D9A6">
        <w:t>Revise as appropriate:</w:t>
      </w:r>
      <w:r>
        <w:t>]</w:t>
      </w:r>
    </w:p>
    <w:p w14:paraId="08972AB4" w14:textId="0BAA8248" w:rsidR="00B11D9D" w:rsidRDefault="274EAD5F" w:rsidP="00B11D9D">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The</w:t>
      </w:r>
      <w:r w:rsidR="7E51C6BB" w:rsidRPr="727BFE15">
        <w:rPr>
          <w:rFonts w:ascii="Palatino Linotype" w:eastAsia="Palatino Linotype" w:hAnsi="Palatino Linotype" w:cs="Palatino Linotype"/>
          <w:color w:val="141414"/>
        </w:rPr>
        <w:t xml:space="preserve"> benefit analysis </w:t>
      </w:r>
      <w:r w:rsidRPr="727BFE15">
        <w:rPr>
          <w:rFonts w:ascii="Palatino Linotype" w:eastAsia="Palatino Linotype" w:hAnsi="Palatino Linotype" w:cs="Palatino Linotype"/>
          <w:color w:val="141414"/>
        </w:rPr>
        <w:t xml:space="preserve">derives </w:t>
      </w:r>
      <w:r w:rsidR="7E51C6BB" w:rsidRPr="727BFE15">
        <w:rPr>
          <w:rFonts w:ascii="Palatino Linotype" w:eastAsia="Palatino Linotype" w:hAnsi="Palatino Linotype" w:cs="Palatino Linotype"/>
          <w:color w:val="141414"/>
        </w:rPr>
        <w:t>from a hypothetical scenario of 1,000 retrofits</w:t>
      </w:r>
      <w:r w:rsidR="28E58BC8" w:rsidRPr="727BFE15">
        <w:rPr>
          <w:rFonts w:ascii="Palatino Linotype" w:eastAsia="Palatino Linotype" w:hAnsi="Palatino Linotype" w:cs="Palatino Linotype"/>
          <w:color w:val="141414"/>
        </w:rPr>
        <w:t xml:space="preserve"> of single-family homes</w:t>
      </w:r>
      <w:r w:rsidR="7E51C6BB" w:rsidRPr="727BFE15">
        <w:rPr>
          <w:rFonts w:ascii="Palatino Linotype" w:eastAsia="Palatino Linotype" w:hAnsi="Palatino Linotype" w:cs="Palatino Linotype"/>
          <w:color w:val="141414"/>
        </w:rPr>
        <w:t xml:space="preserve"> involving replacement of furnaces, air conditioners, and water heaters</w:t>
      </w:r>
      <w:r w:rsidR="599D39B1" w:rsidRPr="727BFE15">
        <w:rPr>
          <w:rFonts w:ascii="Palatino Linotype" w:eastAsia="Palatino Linotype" w:hAnsi="Palatino Linotype" w:cs="Palatino Linotype"/>
          <w:color w:val="141414"/>
        </w:rPr>
        <w:t>—wi</w:t>
      </w:r>
      <w:r w:rsidR="7E51C6BB" w:rsidRPr="727BFE15">
        <w:rPr>
          <w:rFonts w:ascii="Palatino Linotype" w:eastAsia="Palatino Linotype" w:hAnsi="Palatino Linotype" w:cs="Palatino Linotype"/>
          <w:color w:val="141414"/>
        </w:rPr>
        <w:t>th heat pumps and heat pump water heaters, plus energy efficiency improvements to reduce HVAC loads by 30 percent. In practice, the program expects to service a range of projects with varying scopes of work, investment requirements, and project benefits</w:t>
      </w:r>
      <w:r w:rsidR="599D39B1" w:rsidRPr="727BFE15">
        <w:rPr>
          <w:rFonts w:ascii="Palatino Linotype" w:eastAsia="Palatino Linotype" w:hAnsi="Palatino Linotype" w:cs="Palatino Linotype"/>
          <w:color w:val="141414"/>
        </w:rPr>
        <w:t xml:space="preserve">, as shown in </w:t>
      </w:r>
      <w:r w:rsidR="599D39B1" w:rsidRPr="727BFE15">
        <w:rPr>
          <w:rFonts w:ascii="Palatino Linotype" w:eastAsia="Palatino Linotype" w:hAnsi="Palatino Linotype" w:cs="Palatino Linotype"/>
          <w:b/>
          <w:bCs/>
          <w:color w:val="141414"/>
        </w:rPr>
        <w:t>Table 15</w:t>
      </w:r>
      <w:r w:rsidR="7E51C6BB" w:rsidRPr="727BFE15">
        <w:rPr>
          <w:rFonts w:ascii="Palatino Linotype" w:eastAsia="Palatino Linotype" w:hAnsi="Palatino Linotype" w:cs="Palatino Linotype"/>
          <w:color w:val="141414"/>
        </w:rPr>
        <w:t>.</w:t>
      </w:r>
    </w:p>
    <w:p w14:paraId="5BBEC5BB" w14:textId="2CA0C3C9" w:rsidR="00FC3763" w:rsidRPr="00FC3763" w:rsidRDefault="092AC4D2" w:rsidP="00BD4915">
      <w:pPr>
        <w:ind w:left="360"/>
        <w:rPr>
          <w:rFonts w:ascii="Palatino Linotype" w:eastAsia="Palatino Linotype" w:hAnsi="Palatino Linotype" w:cs="Palatino Linotype"/>
          <w:b/>
          <w:bCs/>
          <w:color w:val="141414"/>
        </w:rPr>
      </w:pPr>
      <w:r w:rsidRPr="727BFE15">
        <w:rPr>
          <w:rFonts w:ascii="Palatino Linotype" w:eastAsia="Palatino Linotype" w:hAnsi="Palatino Linotype" w:cs="Palatino Linotype"/>
          <w:b/>
          <w:bCs/>
          <w:color w:val="141414"/>
        </w:rPr>
        <w:t xml:space="preserve">Table </w:t>
      </w:r>
      <w:r w:rsidR="784EE474" w:rsidRPr="727BFE15">
        <w:rPr>
          <w:rFonts w:ascii="Palatino Linotype" w:eastAsia="Palatino Linotype" w:hAnsi="Palatino Linotype" w:cs="Palatino Linotype"/>
          <w:b/>
          <w:bCs/>
          <w:color w:val="141414"/>
        </w:rPr>
        <w:t>1</w:t>
      </w:r>
      <w:r w:rsidR="599D39B1" w:rsidRPr="727BFE15">
        <w:rPr>
          <w:rFonts w:ascii="Palatino Linotype" w:eastAsia="Palatino Linotype" w:hAnsi="Palatino Linotype" w:cs="Palatino Linotype"/>
          <w:b/>
          <w:bCs/>
          <w:color w:val="141414"/>
        </w:rPr>
        <w:t>5</w:t>
      </w:r>
      <w:r w:rsidRPr="727BFE15">
        <w:rPr>
          <w:rFonts w:ascii="Palatino Linotype" w:eastAsia="Palatino Linotype" w:hAnsi="Palatino Linotype" w:cs="Palatino Linotype"/>
          <w:b/>
          <w:bCs/>
          <w:color w:val="141414"/>
        </w:rPr>
        <w:t xml:space="preserve">. Expected </w:t>
      </w:r>
      <w:r w:rsidR="599D39B1" w:rsidRPr="727BFE15">
        <w:rPr>
          <w:rFonts w:ascii="Palatino Linotype" w:eastAsia="Palatino Linotype" w:hAnsi="Palatino Linotype" w:cs="Palatino Linotype"/>
          <w:b/>
          <w:bCs/>
          <w:color w:val="141414"/>
        </w:rPr>
        <w:t>l</w:t>
      </w:r>
      <w:r w:rsidRPr="727BFE15">
        <w:rPr>
          <w:rFonts w:ascii="Palatino Linotype" w:eastAsia="Palatino Linotype" w:hAnsi="Palatino Linotype" w:cs="Palatino Linotype"/>
          <w:b/>
          <w:bCs/>
          <w:color w:val="141414"/>
        </w:rPr>
        <w:t xml:space="preserve">ifecycle Program </w:t>
      </w:r>
      <w:r w:rsidR="599D39B1" w:rsidRPr="727BFE15">
        <w:rPr>
          <w:rFonts w:ascii="Palatino Linotype" w:eastAsia="Palatino Linotype" w:hAnsi="Palatino Linotype" w:cs="Palatino Linotype"/>
          <w:b/>
          <w:bCs/>
          <w:color w:val="141414"/>
        </w:rPr>
        <w:t>b</w:t>
      </w:r>
      <w:r w:rsidRPr="727BFE15">
        <w:rPr>
          <w:rFonts w:ascii="Palatino Linotype" w:eastAsia="Palatino Linotype" w:hAnsi="Palatino Linotype" w:cs="Palatino Linotype"/>
          <w:b/>
          <w:bCs/>
          <w:color w:val="141414"/>
        </w:rPr>
        <w:t>enefits</w:t>
      </w:r>
    </w:p>
    <w:tbl>
      <w:tblPr>
        <w:tblStyle w:val="GridTable4-Accent1"/>
        <w:tblW w:w="0" w:type="auto"/>
        <w:tblLayout w:type="fixed"/>
        <w:tblLook w:val="0420" w:firstRow="1" w:lastRow="0" w:firstColumn="0" w:lastColumn="0" w:noHBand="0" w:noVBand="1"/>
      </w:tblPr>
      <w:tblGrid>
        <w:gridCol w:w="3612"/>
        <w:gridCol w:w="1432"/>
        <w:gridCol w:w="1432"/>
        <w:gridCol w:w="1432"/>
        <w:gridCol w:w="1432"/>
      </w:tblGrid>
      <w:tr w:rsidR="00BD4915" w14:paraId="60E3E2B1" w14:textId="77777777" w:rsidTr="00FB25ED">
        <w:trPr>
          <w:cnfStyle w:val="100000000000" w:firstRow="1" w:lastRow="0" w:firstColumn="0" w:lastColumn="0" w:oddVBand="0" w:evenVBand="0" w:oddHBand="0" w:evenHBand="0" w:firstRowFirstColumn="0" w:firstRowLastColumn="0" w:lastRowFirstColumn="0" w:lastRowLastColumn="0"/>
          <w:tblHeader/>
        </w:trPr>
        <w:tc>
          <w:tcPr>
            <w:tcW w:w="0" w:type="dxa"/>
          </w:tcPr>
          <w:p w14:paraId="77326F6A" w14:textId="79249CF8" w:rsidR="00BD4915" w:rsidRPr="00042FD8" w:rsidRDefault="2351D286" w:rsidP="00E62EBE">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Benefit</w:t>
            </w:r>
          </w:p>
        </w:tc>
        <w:tc>
          <w:tcPr>
            <w:tcW w:w="0" w:type="dxa"/>
          </w:tcPr>
          <w:p w14:paraId="4DB3A8C3" w14:textId="7C043A92" w:rsidR="00BD4915" w:rsidRPr="00042FD8" w:rsidRDefault="2351D286" w:rsidP="727BFE1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Heat </w:t>
            </w:r>
            <w:r w:rsidR="599D39B1" w:rsidRPr="727BFE15">
              <w:rPr>
                <w:rFonts w:ascii="Palatino Linotype" w:eastAsia="Palatino Linotype" w:hAnsi="Palatino Linotype" w:cs="Palatino Linotype"/>
                <w:color w:val="141414"/>
              </w:rPr>
              <w:t>p</w:t>
            </w:r>
            <w:r w:rsidRPr="727BFE15">
              <w:rPr>
                <w:rFonts w:ascii="Palatino Linotype" w:eastAsia="Palatino Linotype" w:hAnsi="Palatino Linotype" w:cs="Palatino Linotype"/>
                <w:color w:val="141414"/>
              </w:rPr>
              <w:t>ump</w:t>
            </w:r>
          </w:p>
        </w:tc>
        <w:tc>
          <w:tcPr>
            <w:tcW w:w="0" w:type="dxa"/>
          </w:tcPr>
          <w:p w14:paraId="0F65DA67" w14:textId="5FE7D427" w:rsidR="00BD4915" w:rsidRPr="00042FD8" w:rsidRDefault="599D39B1" w:rsidP="727BFE1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Heat pump water heater</w:t>
            </w:r>
          </w:p>
        </w:tc>
        <w:tc>
          <w:tcPr>
            <w:tcW w:w="0" w:type="dxa"/>
          </w:tcPr>
          <w:p w14:paraId="4C122955" w14:textId="229B03F5" w:rsidR="00BD4915" w:rsidRPr="00042FD8" w:rsidRDefault="2351D286" w:rsidP="727BFE15">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 xml:space="preserve">Energy </w:t>
            </w:r>
            <w:r w:rsidR="599D39B1" w:rsidRPr="727BFE15">
              <w:rPr>
                <w:rFonts w:ascii="Palatino Linotype" w:eastAsia="Palatino Linotype" w:hAnsi="Palatino Linotype" w:cs="Palatino Linotype"/>
                <w:color w:val="141414"/>
              </w:rPr>
              <w:t>e</w:t>
            </w:r>
            <w:r w:rsidRPr="727BFE15">
              <w:rPr>
                <w:rFonts w:ascii="Palatino Linotype" w:eastAsia="Palatino Linotype" w:hAnsi="Palatino Linotype" w:cs="Palatino Linotype"/>
                <w:color w:val="141414"/>
              </w:rPr>
              <w:t>fficiency</w:t>
            </w:r>
          </w:p>
        </w:tc>
        <w:tc>
          <w:tcPr>
            <w:tcW w:w="0" w:type="dxa"/>
          </w:tcPr>
          <w:p w14:paraId="64E93003" w14:textId="5D8B0B4A" w:rsidR="00BD4915" w:rsidRPr="00042FD8" w:rsidRDefault="2351D286" w:rsidP="727BFE15">
            <w:pPr>
              <w:jc w:val="right"/>
              <w:rPr>
                <w:rFonts w:ascii="Palatino Linotype" w:eastAsia="Palatino Linotype" w:hAnsi="Palatino Linotype"/>
                <w:color w:val="141414"/>
              </w:rPr>
            </w:pPr>
            <w:r w:rsidRPr="727BFE15">
              <w:rPr>
                <w:rFonts w:ascii="Palatino Linotype" w:eastAsia="Palatino Linotype" w:hAnsi="Palatino Linotype" w:cs="Palatino Linotype"/>
                <w:color w:val="141414"/>
              </w:rPr>
              <w:t>Total</w:t>
            </w:r>
          </w:p>
        </w:tc>
      </w:tr>
      <w:tr w:rsidR="00BD4915" w14:paraId="5446248B" w14:textId="77777777" w:rsidTr="727BFE15">
        <w:trPr>
          <w:cnfStyle w:val="000000100000" w:firstRow="0" w:lastRow="0" w:firstColumn="0" w:lastColumn="0" w:oddVBand="0" w:evenVBand="0" w:oddHBand="1" w:evenHBand="0" w:firstRowFirstColumn="0" w:firstRowLastColumn="0" w:lastRowFirstColumn="0" w:lastRowLastColumn="0"/>
        </w:trPr>
        <w:tc>
          <w:tcPr>
            <w:tcW w:w="3612" w:type="dxa"/>
          </w:tcPr>
          <w:p w14:paraId="40B47E56" w14:textId="4F690595" w:rsidR="00BD4915" w:rsidRDefault="3C60483B" w:rsidP="00E62EBE">
            <w:pPr>
              <w:rPr>
                <w:rFonts w:ascii="Palatino Linotype" w:eastAsia="Palatino Linotype" w:hAnsi="Palatino Linotype" w:cs="Palatino Linotype"/>
                <w:color w:val="141414"/>
              </w:rPr>
            </w:pPr>
            <w:r w:rsidRPr="727BFE15">
              <w:rPr>
                <w:rFonts w:ascii="Palatino Linotype" w:eastAsia="Palatino Linotype" w:hAnsi="Palatino Linotype" w:cs="Palatino Linotype"/>
                <w:color w:val="141414"/>
              </w:rPr>
              <w:t>GHG reductions (</w:t>
            </w:r>
            <w:r w:rsidR="599D39B1" w:rsidRPr="727BFE15">
              <w:rPr>
                <w:rFonts w:ascii="Palatino Linotype" w:eastAsia="Palatino Linotype" w:hAnsi="Palatino Linotype" w:cs="Palatino Linotype"/>
                <w:color w:val="141414"/>
              </w:rPr>
              <w:t>MT</w:t>
            </w:r>
            <w:r w:rsidRPr="727BFE15">
              <w:rPr>
                <w:rFonts w:ascii="Palatino Linotype" w:eastAsia="Palatino Linotype" w:hAnsi="Palatino Linotype" w:cs="Palatino Linotype"/>
                <w:color w:val="141414"/>
              </w:rPr>
              <w:t xml:space="preserve"> eCO2)</w:t>
            </w:r>
          </w:p>
        </w:tc>
        <w:tc>
          <w:tcPr>
            <w:tcW w:w="1432" w:type="dxa"/>
          </w:tcPr>
          <w:p w14:paraId="5DFE4D27" w14:textId="50163BD2"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46D45DEB" w14:textId="0001B73E"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46B653EB" w14:textId="5CDF71BB"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675F7631" w14:textId="031AF339" w:rsidR="00BD4915" w:rsidRPr="00B455B1" w:rsidRDefault="00BD4915" w:rsidP="00E62EBE">
            <w:pPr>
              <w:jc w:val="right"/>
              <w:rPr>
                <w:rFonts w:ascii="Palatino Linotype" w:eastAsia="Palatino Linotype" w:hAnsi="Palatino Linotype" w:cs="Palatino Linotype"/>
                <w:color w:val="141414"/>
              </w:rPr>
            </w:pPr>
          </w:p>
        </w:tc>
      </w:tr>
      <w:tr w:rsidR="00BD4915" w14:paraId="641B1260" w14:textId="77777777" w:rsidTr="727BFE15">
        <w:tc>
          <w:tcPr>
            <w:tcW w:w="3612" w:type="dxa"/>
          </w:tcPr>
          <w:p w14:paraId="21F4D42C" w14:textId="77777777" w:rsidR="00BD4915" w:rsidRDefault="00BD4915"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Electricity savings (MWh)</w:t>
            </w:r>
          </w:p>
        </w:tc>
        <w:tc>
          <w:tcPr>
            <w:tcW w:w="1432" w:type="dxa"/>
          </w:tcPr>
          <w:p w14:paraId="5FDC083E" w14:textId="3BF17C58" w:rsidR="00BD4915" w:rsidRPr="00B455B1" w:rsidRDefault="00BD4915" w:rsidP="00E62EBE">
            <w:pPr>
              <w:jc w:val="right"/>
              <w:rPr>
                <w:rFonts w:ascii="Palatino Linotype" w:eastAsia="Palatino Linotype" w:hAnsi="Palatino Linotype" w:cs="Palatino Linotype"/>
                <w:color w:val="FF0000"/>
              </w:rPr>
            </w:pPr>
          </w:p>
        </w:tc>
        <w:tc>
          <w:tcPr>
            <w:tcW w:w="1432" w:type="dxa"/>
          </w:tcPr>
          <w:p w14:paraId="17E5406D" w14:textId="3A3BFD02" w:rsidR="00BD4915" w:rsidRPr="00B455B1" w:rsidRDefault="00BD4915" w:rsidP="00E62EBE">
            <w:pPr>
              <w:jc w:val="right"/>
              <w:rPr>
                <w:rFonts w:ascii="Palatino Linotype" w:eastAsia="Palatino Linotype" w:hAnsi="Palatino Linotype" w:cs="Palatino Linotype"/>
                <w:color w:val="FF0000"/>
              </w:rPr>
            </w:pPr>
          </w:p>
        </w:tc>
        <w:tc>
          <w:tcPr>
            <w:tcW w:w="1432" w:type="dxa"/>
          </w:tcPr>
          <w:p w14:paraId="6F3BE296" w14:textId="2A6619AF" w:rsidR="00BD4915" w:rsidRPr="00B455B1" w:rsidRDefault="00BD4915" w:rsidP="00E62EBE">
            <w:pPr>
              <w:jc w:val="right"/>
              <w:rPr>
                <w:rFonts w:ascii="Palatino Linotype" w:eastAsia="Palatino Linotype" w:hAnsi="Palatino Linotype" w:cs="Palatino Linotype"/>
                <w:color w:val="FF0000"/>
              </w:rPr>
            </w:pPr>
          </w:p>
        </w:tc>
        <w:tc>
          <w:tcPr>
            <w:tcW w:w="1432" w:type="dxa"/>
          </w:tcPr>
          <w:p w14:paraId="487C5022" w14:textId="1F5BEDE5" w:rsidR="00BD4915" w:rsidRPr="00B455B1" w:rsidRDefault="00BD4915" w:rsidP="00E62EBE">
            <w:pPr>
              <w:jc w:val="right"/>
              <w:rPr>
                <w:rFonts w:ascii="Palatino Linotype" w:eastAsia="Palatino Linotype" w:hAnsi="Palatino Linotype" w:cs="Palatino Linotype"/>
                <w:color w:val="FF0000"/>
              </w:rPr>
            </w:pPr>
          </w:p>
        </w:tc>
      </w:tr>
      <w:tr w:rsidR="00BD4915" w14:paraId="47313A6E" w14:textId="77777777" w:rsidTr="727BFE15">
        <w:trPr>
          <w:cnfStyle w:val="000000100000" w:firstRow="0" w:lastRow="0" w:firstColumn="0" w:lastColumn="0" w:oddVBand="0" w:evenVBand="0" w:oddHBand="1" w:evenHBand="0" w:firstRowFirstColumn="0" w:firstRowLastColumn="0" w:lastRowFirstColumn="0" w:lastRowLastColumn="0"/>
        </w:trPr>
        <w:tc>
          <w:tcPr>
            <w:tcW w:w="3612" w:type="dxa"/>
          </w:tcPr>
          <w:p w14:paraId="7D9CC789" w14:textId="77777777" w:rsidR="00BD4915" w:rsidRDefault="00BD4915"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Gas savings (MTherms)</w:t>
            </w:r>
          </w:p>
        </w:tc>
        <w:tc>
          <w:tcPr>
            <w:tcW w:w="1432" w:type="dxa"/>
          </w:tcPr>
          <w:p w14:paraId="18EE161A" w14:textId="24C2229D"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6041BB5E" w14:textId="46B6B242"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00E062A6" w14:textId="69E163EB"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029FCABC" w14:textId="32724024" w:rsidR="00BD4915" w:rsidRPr="00B455B1" w:rsidRDefault="00BD4915" w:rsidP="00E62EBE">
            <w:pPr>
              <w:jc w:val="right"/>
              <w:rPr>
                <w:rFonts w:ascii="Palatino Linotype" w:eastAsia="Palatino Linotype" w:hAnsi="Palatino Linotype" w:cs="Palatino Linotype"/>
                <w:color w:val="141414"/>
              </w:rPr>
            </w:pPr>
          </w:p>
        </w:tc>
      </w:tr>
      <w:tr w:rsidR="00BD4915" w14:paraId="73F3F8E4" w14:textId="77777777" w:rsidTr="727BFE15">
        <w:tc>
          <w:tcPr>
            <w:tcW w:w="3612" w:type="dxa"/>
          </w:tcPr>
          <w:p w14:paraId="469B6747" w14:textId="77777777" w:rsidR="00BD4915" w:rsidRDefault="00BD4915"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Customer bill savings</w:t>
            </w:r>
          </w:p>
        </w:tc>
        <w:tc>
          <w:tcPr>
            <w:tcW w:w="1432" w:type="dxa"/>
          </w:tcPr>
          <w:p w14:paraId="1BD9D5B2" w14:textId="282FB961"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446E92D1" w14:textId="544C2E3D"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2192C43A" w14:textId="35A9B882" w:rsidR="00BD4915" w:rsidRPr="00B455B1" w:rsidRDefault="00BD4915" w:rsidP="00E62EBE">
            <w:pPr>
              <w:jc w:val="right"/>
              <w:rPr>
                <w:rFonts w:ascii="Palatino Linotype" w:eastAsia="Palatino Linotype" w:hAnsi="Palatino Linotype" w:cs="Palatino Linotype"/>
                <w:color w:val="141414"/>
              </w:rPr>
            </w:pPr>
          </w:p>
        </w:tc>
        <w:tc>
          <w:tcPr>
            <w:tcW w:w="1432" w:type="dxa"/>
          </w:tcPr>
          <w:p w14:paraId="52D5ED0D" w14:textId="15B865E4" w:rsidR="00BD4915" w:rsidRPr="00B455B1" w:rsidRDefault="00BD4915" w:rsidP="00E62EBE">
            <w:pPr>
              <w:jc w:val="right"/>
              <w:rPr>
                <w:rFonts w:ascii="Palatino Linotype" w:eastAsia="Palatino Linotype" w:hAnsi="Palatino Linotype" w:cs="Palatino Linotype"/>
                <w:color w:val="141414"/>
              </w:rPr>
            </w:pPr>
          </w:p>
        </w:tc>
      </w:tr>
      <w:tr w:rsidR="00BD4915" w14:paraId="6DE20BCC" w14:textId="77777777" w:rsidTr="727BFE15">
        <w:trPr>
          <w:cnfStyle w:val="000000100000" w:firstRow="0" w:lastRow="0" w:firstColumn="0" w:lastColumn="0" w:oddVBand="0" w:evenVBand="0" w:oddHBand="1" w:evenHBand="0" w:firstRowFirstColumn="0" w:firstRowLastColumn="0" w:lastRowFirstColumn="0" w:lastRowLastColumn="0"/>
        </w:trPr>
        <w:tc>
          <w:tcPr>
            <w:tcW w:w="3612" w:type="dxa"/>
          </w:tcPr>
          <w:p w14:paraId="71A0359E" w14:textId="77777777" w:rsidR="00BD4915" w:rsidRDefault="00BD4915"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Bill savings net of cost recovery charges</w:t>
            </w:r>
          </w:p>
        </w:tc>
        <w:tc>
          <w:tcPr>
            <w:tcW w:w="1432" w:type="dxa"/>
          </w:tcPr>
          <w:p w14:paraId="19ADBD69" w14:textId="20B66A6E" w:rsidR="00BD4915" w:rsidRPr="6A5D419A" w:rsidRDefault="00BD4915" w:rsidP="00E62EBE">
            <w:pPr>
              <w:jc w:val="right"/>
              <w:rPr>
                <w:rFonts w:ascii="Palatino Linotype" w:eastAsia="Palatino Linotype" w:hAnsi="Palatino Linotype" w:cs="Palatino Linotype"/>
                <w:color w:val="282828" w:themeColor="text1"/>
              </w:rPr>
            </w:pPr>
          </w:p>
        </w:tc>
        <w:tc>
          <w:tcPr>
            <w:tcW w:w="1432" w:type="dxa"/>
          </w:tcPr>
          <w:p w14:paraId="3AF31779" w14:textId="6C97E2A8" w:rsidR="00BD4915" w:rsidRPr="6A5D419A" w:rsidRDefault="00BD4915" w:rsidP="00E62EBE">
            <w:pPr>
              <w:jc w:val="right"/>
              <w:rPr>
                <w:rFonts w:ascii="Palatino Linotype" w:eastAsia="Palatino Linotype" w:hAnsi="Palatino Linotype" w:cs="Palatino Linotype"/>
                <w:color w:val="282828" w:themeColor="text1"/>
              </w:rPr>
            </w:pPr>
          </w:p>
        </w:tc>
        <w:tc>
          <w:tcPr>
            <w:tcW w:w="1432" w:type="dxa"/>
          </w:tcPr>
          <w:p w14:paraId="1D53CFE7" w14:textId="47E61699" w:rsidR="00BD4915" w:rsidRPr="6A5D419A" w:rsidRDefault="00BD4915" w:rsidP="00E62EBE">
            <w:pPr>
              <w:jc w:val="right"/>
              <w:rPr>
                <w:rFonts w:ascii="Palatino Linotype" w:eastAsia="Palatino Linotype" w:hAnsi="Palatino Linotype" w:cs="Palatino Linotype"/>
                <w:color w:val="282828" w:themeColor="text1"/>
              </w:rPr>
            </w:pPr>
          </w:p>
        </w:tc>
        <w:tc>
          <w:tcPr>
            <w:tcW w:w="1432" w:type="dxa"/>
          </w:tcPr>
          <w:p w14:paraId="2A35D2BB" w14:textId="363B9B45" w:rsidR="00BD4915" w:rsidRDefault="00BD4915" w:rsidP="00E62EBE">
            <w:pPr>
              <w:jc w:val="right"/>
              <w:rPr>
                <w:rFonts w:ascii="Palatino Linotype" w:eastAsia="Palatino Linotype" w:hAnsi="Palatino Linotype" w:cs="Palatino Linotype"/>
                <w:color w:val="282828" w:themeColor="text1"/>
              </w:rPr>
            </w:pPr>
          </w:p>
        </w:tc>
      </w:tr>
      <w:tr w:rsidR="00BD4915" w14:paraId="3B352B1A" w14:textId="77777777" w:rsidTr="727BFE15">
        <w:tc>
          <w:tcPr>
            <w:tcW w:w="3612" w:type="dxa"/>
          </w:tcPr>
          <w:p w14:paraId="13EB9656" w14:textId="77777777" w:rsidR="00BD4915" w:rsidRDefault="00BD4915" w:rsidP="00E62EBE">
            <w:pPr>
              <w:rPr>
                <w:rFonts w:ascii="Palatino Linotype" w:eastAsia="Palatino Linotype" w:hAnsi="Palatino Linotype" w:cs="Palatino Linotype"/>
                <w:color w:val="141414"/>
              </w:rPr>
            </w:pPr>
            <w:r w:rsidRPr="6A5D419A">
              <w:rPr>
                <w:rFonts w:ascii="Palatino Linotype" w:eastAsia="Palatino Linotype" w:hAnsi="Palatino Linotype" w:cs="Palatino Linotype"/>
                <w:color w:val="141414"/>
              </w:rPr>
              <w:t>Avoided equipment replacement costs</w:t>
            </w:r>
          </w:p>
        </w:tc>
        <w:tc>
          <w:tcPr>
            <w:tcW w:w="1432" w:type="dxa"/>
          </w:tcPr>
          <w:p w14:paraId="42DCCA43" w14:textId="27C07E2F" w:rsidR="00BD4915" w:rsidRPr="6A5D419A" w:rsidRDefault="00BD4915" w:rsidP="00E62EBE">
            <w:pPr>
              <w:jc w:val="right"/>
              <w:rPr>
                <w:rFonts w:ascii="Palatino Linotype" w:eastAsia="Palatino Linotype" w:hAnsi="Palatino Linotype" w:cs="Palatino Linotype"/>
                <w:color w:val="282828" w:themeColor="text1"/>
              </w:rPr>
            </w:pPr>
          </w:p>
        </w:tc>
        <w:tc>
          <w:tcPr>
            <w:tcW w:w="1432" w:type="dxa"/>
          </w:tcPr>
          <w:p w14:paraId="18FFC8B9" w14:textId="1EB59BEE" w:rsidR="00BD4915" w:rsidRPr="6A5D419A" w:rsidRDefault="00BD4915" w:rsidP="00E62EBE">
            <w:pPr>
              <w:jc w:val="right"/>
              <w:rPr>
                <w:rFonts w:ascii="Palatino Linotype" w:eastAsia="Palatino Linotype" w:hAnsi="Palatino Linotype" w:cs="Palatino Linotype"/>
                <w:color w:val="282828" w:themeColor="text1"/>
              </w:rPr>
            </w:pPr>
          </w:p>
        </w:tc>
        <w:tc>
          <w:tcPr>
            <w:tcW w:w="1432" w:type="dxa"/>
          </w:tcPr>
          <w:p w14:paraId="10F35E21" w14:textId="382BBE8C" w:rsidR="00BD4915" w:rsidRPr="6A5D419A" w:rsidRDefault="00BD4915" w:rsidP="00E62EBE">
            <w:pPr>
              <w:jc w:val="right"/>
              <w:rPr>
                <w:rFonts w:ascii="Palatino Linotype" w:eastAsia="Palatino Linotype" w:hAnsi="Palatino Linotype" w:cs="Palatino Linotype"/>
                <w:color w:val="282828" w:themeColor="text1"/>
              </w:rPr>
            </w:pPr>
          </w:p>
        </w:tc>
        <w:tc>
          <w:tcPr>
            <w:tcW w:w="1432" w:type="dxa"/>
          </w:tcPr>
          <w:p w14:paraId="4FF31338" w14:textId="0139C679" w:rsidR="00BD4915" w:rsidRDefault="00BD4915" w:rsidP="00E62EBE">
            <w:pPr>
              <w:jc w:val="right"/>
              <w:rPr>
                <w:rFonts w:ascii="Palatino Linotype" w:eastAsia="Palatino Linotype" w:hAnsi="Palatino Linotype" w:cs="Palatino Linotype"/>
                <w:color w:val="282828" w:themeColor="text1"/>
              </w:rPr>
            </w:pPr>
          </w:p>
        </w:tc>
      </w:tr>
    </w:tbl>
    <w:p w14:paraId="75A69058" w14:textId="77777777" w:rsidR="00FC3763" w:rsidRDefault="00FC3763" w:rsidP="00391240"/>
    <w:p w14:paraId="47E5E348" w14:textId="08154E5F" w:rsidR="002766C2" w:rsidRDefault="7B2CC874" w:rsidP="002766C2">
      <w:pPr>
        <w:pStyle w:val="Heading2"/>
      </w:pPr>
      <w:bookmarkStart w:id="43" w:name="_Toc98921613"/>
      <w:r>
        <w:t>Projected Participation</w:t>
      </w:r>
      <w:bookmarkEnd w:id="43"/>
    </w:p>
    <w:p w14:paraId="6D431805" w14:textId="05DA2FF8" w:rsidR="00042FD8" w:rsidRPr="00042FD8" w:rsidRDefault="599D39B1" w:rsidP="727BFE15">
      <w:pPr>
        <w:rPr>
          <w:i/>
          <w:iCs/>
        </w:rPr>
      </w:pPr>
      <w:r w:rsidRPr="727BFE15">
        <w:rPr>
          <w:i/>
          <w:iCs/>
        </w:rPr>
        <w:t>From the CPUC:</w:t>
      </w:r>
    </w:p>
    <w:p w14:paraId="69FE2BBB" w14:textId="77777777" w:rsidR="00042FD8" w:rsidRPr="00042FD8" w:rsidRDefault="599D39B1" w:rsidP="727BFE15">
      <w:pPr>
        <w:pStyle w:val="NormalWeb"/>
        <w:rPr>
          <w:i/>
          <w:iCs/>
        </w:rPr>
      </w:pPr>
      <w:r w:rsidRPr="727BFE15">
        <w:rPr>
          <w:i/>
          <w:iCs/>
        </w:rPr>
        <w:t>What number of loans is this program expected to support?</w:t>
      </w:r>
    </w:p>
    <w:p w14:paraId="56CC8D8E" w14:textId="0D808E78" w:rsidR="00FE142C" w:rsidRPr="00042FD8" w:rsidRDefault="66662830" w:rsidP="00FE142C">
      <w:pPr>
        <w:pStyle w:val="NormalWeb"/>
      </w:pPr>
      <w:r>
        <w:t xml:space="preserve">The </w:t>
      </w:r>
      <w:r w:rsidR="19D9C376">
        <w:t>Program</w:t>
      </w:r>
      <w:r w:rsidR="0DCBB48F">
        <w:t xml:space="preserve"> intends to </w:t>
      </w:r>
      <w:r w:rsidR="26600DC6">
        <w:t>sponsor</w:t>
      </w:r>
      <w:r w:rsidR="0DCBB48F">
        <w:t xml:space="preserve"> upgrade investments for</w:t>
      </w:r>
      <w:r w:rsidR="6F3D658E">
        <w:t xml:space="preserve"> somewhere between</w:t>
      </w:r>
      <w:r w:rsidR="599D39B1">
        <w:t xml:space="preserve"> [</w:t>
      </w:r>
      <w:r w:rsidR="72958ACE">
        <w:t>71</w:t>
      </w:r>
      <w:r w:rsidR="0DCBB48F">
        <w:t>0</w:t>
      </w:r>
      <w:r w:rsidR="6F3D658E">
        <w:t xml:space="preserve"> and </w:t>
      </w:r>
      <w:r w:rsidR="3F8B2FD9">
        <w:t>6,750</w:t>
      </w:r>
      <w:r w:rsidR="0DCBB48F">
        <w:t xml:space="preserve"> single-family homes</w:t>
      </w:r>
      <w:r w:rsidR="599D39B1">
        <w:t>]</w:t>
      </w:r>
      <w:r w:rsidR="0DCBB48F">
        <w:t xml:space="preserve"> between January 1, 2023</w:t>
      </w:r>
      <w:r w:rsidR="33E27112">
        <w:t>,</w:t>
      </w:r>
      <w:r w:rsidR="0DCBB48F">
        <w:t xml:space="preserve"> and Dec</w:t>
      </w:r>
      <w:r w:rsidR="33E27112">
        <w:t>ember 31, 2024.</w:t>
      </w:r>
      <w:r w:rsidR="3F8B2FD9">
        <w:t xml:space="preserve"> The lower</w:t>
      </w:r>
      <w:r w:rsidR="599D39B1">
        <w:t xml:space="preserve"> number</w:t>
      </w:r>
      <w:r w:rsidR="3F8B2FD9">
        <w:t xml:space="preserve"> reflects a scenario in which</w:t>
      </w:r>
      <w:r w:rsidR="38C5F038">
        <w:t xml:space="preserve"> $5 million </w:t>
      </w:r>
      <w:r w:rsidR="26600DC6">
        <w:t>i</w:t>
      </w:r>
      <w:r w:rsidR="38C5F038">
        <w:t>n TOB capital</w:t>
      </w:r>
      <w:r w:rsidR="7038DFAF">
        <w:t xml:space="preserve"> is deployed to co-fund</w:t>
      </w:r>
      <w:r w:rsidR="3F8B2FD9">
        <w:t xml:space="preserve"> projects</w:t>
      </w:r>
      <w:r w:rsidR="7038DFAF">
        <w:t xml:space="preserve"> that all</w:t>
      </w:r>
      <w:r w:rsidR="3F8B2FD9">
        <w:t xml:space="preserve"> involve comprehensive work scopes</w:t>
      </w:r>
      <w:r w:rsidR="7038DFAF">
        <w:t>,</w:t>
      </w:r>
      <w:r w:rsidR="4FC7F43F">
        <w:t xml:space="preserve"> including heat pump and heat pump water heater installations plus energy efficiency improvements.</w:t>
      </w:r>
      <w:r w:rsidR="7038DFAF">
        <w:t xml:space="preserve"> The upper bound reflects the opposite extreme, in which the same $5 million is deployed exclusively for heat pump water heater installations.</w:t>
      </w:r>
    </w:p>
    <w:p w14:paraId="2599BB16" w14:textId="77777777" w:rsidR="00042FD8" w:rsidRPr="00042FD8" w:rsidRDefault="599D39B1" w:rsidP="727BFE15">
      <w:pPr>
        <w:pStyle w:val="NormalWeb"/>
        <w:rPr>
          <w:i/>
          <w:iCs/>
        </w:rPr>
      </w:pPr>
      <w:r w:rsidRPr="727BFE15">
        <w:rPr>
          <w:i/>
          <w:iCs/>
        </w:rPr>
        <w:t>From TECH Clean California:</w:t>
      </w:r>
    </w:p>
    <w:p w14:paraId="7B786629" w14:textId="484F4F15" w:rsidR="005B5053" w:rsidRPr="00042FD8" w:rsidRDefault="599D39B1" w:rsidP="727BFE15">
      <w:pPr>
        <w:pStyle w:val="NormalWeb"/>
        <w:rPr>
          <w:i/>
          <w:iCs/>
        </w:rPr>
      </w:pPr>
      <w:r w:rsidRPr="727BFE15">
        <w:rPr>
          <w:i/>
          <w:iCs/>
        </w:rPr>
        <w:t>[</w:t>
      </w:r>
      <w:r w:rsidR="38FD2546" w:rsidRPr="727BFE15">
        <w:rPr>
          <w:i/>
          <w:iCs/>
        </w:rPr>
        <w:t>Discuss any specific goals related to income category, DAC status, geographic subdivisions, etc.</w:t>
      </w:r>
      <w:r w:rsidRPr="727BFE15">
        <w:rPr>
          <w:i/>
          <w:iCs/>
        </w:rPr>
        <w:t>]</w:t>
      </w:r>
    </w:p>
    <w:p w14:paraId="38E28B4A" w14:textId="18A7F364" w:rsidR="002766C2" w:rsidRDefault="00442F06" w:rsidP="00442F06">
      <w:pPr>
        <w:pStyle w:val="Heading2"/>
      </w:pPr>
      <w:bookmarkStart w:id="44" w:name="_Toc98921614"/>
      <w:r>
        <w:t>Program Time Frame</w:t>
      </w:r>
      <w:bookmarkEnd w:id="44"/>
    </w:p>
    <w:p w14:paraId="59C1199F" w14:textId="43BF7DBE" w:rsidR="00042FD8" w:rsidRPr="00042FD8" w:rsidRDefault="599D39B1" w:rsidP="727BFE15">
      <w:pPr>
        <w:rPr>
          <w:i/>
          <w:iCs/>
        </w:rPr>
      </w:pPr>
      <w:r w:rsidRPr="727BFE15">
        <w:rPr>
          <w:i/>
          <w:iCs/>
        </w:rPr>
        <w:t>From the CPUC:</w:t>
      </w:r>
    </w:p>
    <w:p w14:paraId="0A3EE430" w14:textId="77777777" w:rsidR="00042FD8" w:rsidRPr="00042FD8" w:rsidRDefault="599D39B1" w:rsidP="727BFE15">
      <w:pPr>
        <w:rPr>
          <w:i/>
          <w:iCs/>
        </w:rPr>
      </w:pPr>
      <w:r w:rsidRPr="727BFE15">
        <w:rPr>
          <w:i/>
          <w:iCs/>
        </w:rPr>
        <w:t>How many years will the program run?</w:t>
      </w:r>
    </w:p>
    <w:p w14:paraId="7E30F60D" w14:textId="18A45A28" w:rsidR="0034199F" w:rsidRPr="000F180D" w:rsidRDefault="03CC92B2" w:rsidP="0034199F">
      <w:pPr>
        <w:rPr>
          <w:b/>
          <w:bCs/>
        </w:rPr>
      </w:pPr>
      <w:r>
        <w:t xml:space="preserve">Planning for the </w:t>
      </w:r>
      <w:r w:rsidR="19D9C376">
        <w:t>Program</w:t>
      </w:r>
      <w:r>
        <w:t xml:space="preserve"> will occur</w:t>
      </w:r>
      <w:r w:rsidR="791A3A0D">
        <w:t xml:space="preserve"> in 2022,</w:t>
      </w:r>
      <w:r>
        <w:t xml:space="preserve"> concurrently with Commission review and approval. The </w:t>
      </w:r>
      <w:r w:rsidR="19D9C376">
        <w:t>Program</w:t>
      </w:r>
      <w:r>
        <w:t xml:space="preserve"> will launch</w:t>
      </w:r>
      <w:r w:rsidR="12837047">
        <w:t xml:space="preserve"> its marketing and outreach campaign by December 7, 202</w:t>
      </w:r>
      <w:r w:rsidR="791A3A0D">
        <w:t>2</w:t>
      </w:r>
      <w:r w:rsidR="12837047">
        <w:t>. Project enrollment will extend two years</w:t>
      </w:r>
      <w:r w:rsidR="25974A02">
        <w:t xml:space="preserve">—2023 and 2024—and </w:t>
      </w:r>
      <w:r w:rsidR="45A527D0">
        <w:t xml:space="preserve">measurement and verification </w:t>
      </w:r>
      <w:r w:rsidR="2DBDFB5B">
        <w:t xml:space="preserve">(M&amp;V) </w:t>
      </w:r>
      <w:r w:rsidR="25974A02">
        <w:t>will continue for an additional year in 2025.</w:t>
      </w:r>
      <w:r w:rsidR="45A527D0">
        <w:t xml:space="preserve"> The work plan and timeline are shown in </w:t>
      </w:r>
      <w:r w:rsidR="45A527D0" w:rsidRPr="727BFE15">
        <w:rPr>
          <w:b/>
          <w:bCs/>
        </w:rPr>
        <w:t>Table 16.</w:t>
      </w:r>
    </w:p>
    <w:p w14:paraId="604EDE76" w14:textId="4AE57C82" w:rsidR="00022AB9" w:rsidRPr="003B01D7" w:rsidRDefault="25974A02" w:rsidP="0034199F">
      <w:pPr>
        <w:ind w:left="720" w:hanging="360"/>
        <w:rPr>
          <w:b/>
          <w:bCs/>
        </w:rPr>
      </w:pPr>
      <w:r w:rsidRPr="727BFE15">
        <w:rPr>
          <w:b/>
          <w:bCs/>
        </w:rPr>
        <w:t>Table</w:t>
      </w:r>
      <w:r w:rsidR="13F7F8D6" w:rsidRPr="727BFE15">
        <w:rPr>
          <w:b/>
          <w:bCs/>
        </w:rPr>
        <w:t xml:space="preserve"> </w:t>
      </w:r>
      <w:r w:rsidR="784EE474" w:rsidRPr="727BFE15">
        <w:rPr>
          <w:b/>
          <w:bCs/>
        </w:rPr>
        <w:t>1</w:t>
      </w:r>
      <w:r w:rsidR="45A527D0" w:rsidRPr="727BFE15">
        <w:rPr>
          <w:b/>
          <w:bCs/>
        </w:rPr>
        <w:t>6</w:t>
      </w:r>
      <w:r w:rsidR="13F7F8D6" w:rsidRPr="727BFE15">
        <w:rPr>
          <w:b/>
          <w:bCs/>
        </w:rPr>
        <w:t xml:space="preserve">. </w:t>
      </w:r>
      <w:r w:rsidR="19D9C376" w:rsidRPr="727BFE15">
        <w:rPr>
          <w:b/>
          <w:bCs/>
        </w:rPr>
        <w:t>Program</w:t>
      </w:r>
      <w:r w:rsidR="13F7F8D6" w:rsidRPr="727BFE15">
        <w:rPr>
          <w:b/>
          <w:bCs/>
        </w:rPr>
        <w:t xml:space="preserve"> </w:t>
      </w:r>
      <w:r w:rsidR="45A527D0" w:rsidRPr="727BFE15">
        <w:rPr>
          <w:b/>
          <w:bCs/>
        </w:rPr>
        <w:t>w</w:t>
      </w:r>
      <w:r w:rsidR="13F7F8D6" w:rsidRPr="727BFE15">
        <w:rPr>
          <w:b/>
          <w:bCs/>
        </w:rPr>
        <w:t xml:space="preserve">ork </w:t>
      </w:r>
      <w:r w:rsidR="45A527D0" w:rsidRPr="727BFE15">
        <w:rPr>
          <w:b/>
          <w:bCs/>
        </w:rPr>
        <w:t>p</w:t>
      </w:r>
      <w:r w:rsidR="13F7F8D6" w:rsidRPr="727BFE15">
        <w:rPr>
          <w:b/>
          <w:bCs/>
        </w:rPr>
        <w:t xml:space="preserve">lan and </w:t>
      </w:r>
      <w:r w:rsidR="45A527D0" w:rsidRPr="727BFE15">
        <w:rPr>
          <w:b/>
          <w:bCs/>
        </w:rPr>
        <w:t>t</w:t>
      </w:r>
      <w:r w:rsidR="13F7F8D6" w:rsidRPr="727BFE15">
        <w:rPr>
          <w:b/>
          <w:bCs/>
        </w:rPr>
        <w:t>imeline</w:t>
      </w:r>
    </w:p>
    <w:tbl>
      <w:tblPr>
        <w:tblStyle w:val="GridTable5Dark-Accent1"/>
        <w:tblW w:w="9270" w:type="dxa"/>
        <w:tblLook w:val="04A0" w:firstRow="1" w:lastRow="0" w:firstColumn="1" w:lastColumn="0" w:noHBand="0" w:noVBand="1"/>
      </w:tblPr>
      <w:tblGrid>
        <w:gridCol w:w="3420"/>
        <w:gridCol w:w="1049"/>
        <w:gridCol w:w="1010"/>
        <w:gridCol w:w="1080"/>
        <w:gridCol w:w="2711"/>
      </w:tblGrid>
      <w:tr w:rsidR="006B6AAB" w:rsidRPr="00133147" w14:paraId="3E416A72" w14:textId="77777777" w:rsidTr="727BFE15">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3420" w:type="dxa"/>
            <w:noWrap/>
            <w:vAlign w:val="center"/>
            <w:hideMark/>
          </w:tcPr>
          <w:p w14:paraId="787CC42F" w14:textId="77777777" w:rsidR="00133147" w:rsidRPr="00133147" w:rsidRDefault="00133147" w:rsidP="00C153C2">
            <w:pPr>
              <w:spacing w:before="0" w:after="0" w:line="240" w:lineRule="auto"/>
              <w:rPr>
                <w:rFonts w:eastAsia="Times New Roman" w:cs="Arial"/>
                <w:color w:val="000000"/>
                <w:sz w:val="20"/>
                <w:szCs w:val="20"/>
              </w:rPr>
            </w:pPr>
            <w:r w:rsidRPr="00133147">
              <w:rPr>
                <w:rFonts w:eastAsia="Times New Roman" w:cs="Arial"/>
                <w:color w:val="000000"/>
                <w:sz w:val="20"/>
                <w:szCs w:val="20"/>
              </w:rPr>
              <w:t>Task Name</w:t>
            </w:r>
          </w:p>
        </w:tc>
        <w:tc>
          <w:tcPr>
            <w:tcW w:w="1049" w:type="dxa"/>
            <w:noWrap/>
            <w:hideMark/>
          </w:tcPr>
          <w:p w14:paraId="657F31CA" w14:textId="55103E9D" w:rsidR="00133147" w:rsidRPr="00133147" w:rsidRDefault="14BC549F" w:rsidP="00133147">
            <w:pPr>
              <w:spacing w:before="0"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Duration</w:t>
            </w:r>
            <w:r w:rsidR="4DEC674C" w:rsidRPr="727BFE15">
              <w:rPr>
                <w:rFonts w:eastAsia="Times New Roman" w:cs="Arial"/>
                <w:color w:val="000000"/>
                <w:sz w:val="20"/>
                <w:szCs w:val="20"/>
              </w:rPr>
              <w:t xml:space="preserve"> (in days)</w:t>
            </w:r>
          </w:p>
        </w:tc>
        <w:tc>
          <w:tcPr>
            <w:tcW w:w="1010" w:type="dxa"/>
            <w:noWrap/>
            <w:hideMark/>
          </w:tcPr>
          <w:p w14:paraId="5BA5EFD1" w14:textId="77777777" w:rsidR="00133147" w:rsidRPr="00133147" w:rsidRDefault="00133147" w:rsidP="001331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Start</w:t>
            </w:r>
          </w:p>
        </w:tc>
        <w:tc>
          <w:tcPr>
            <w:tcW w:w="1080" w:type="dxa"/>
            <w:noWrap/>
            <w:hideMark/>
          </w:tcPr>
          <w:p w14:paraId="07EE122D" w14:textId="77777777" w:rsidR="00133147" w:rsidRPr="00133147" w:rsidRDefault="00133147" w:rsidP="001331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Finish</w:t>
            </w:r>
          </w:p>
        </w:tc>
        <w:tc>
          <w:tcPr>
            <w:tcW w:w="2711" w:type="dxa"/>
            <w:noWrap/>
            <w:hideMark/>
          </w:tcPr>
          <w:p w14:paraId="533BF561" w14:textId="77777777" w:rsidR="00133147" w:rsidRPr="00133147" w:rsidRDefault="00133147" w:rsidP="00133147">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Comments</w:t>
            </w:r>
          </w:p>
        </w:tc>
      </w:tr>
      <w:tr w:rsidR="00C153C2" w:rsidRPr="00133147" w14:paraId="34667BBC"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6E9D79F1" w14:textId="77777777" w:rsidR="00133147" w:rsidRPr="00133147" w:rsidRDefault="00133147" w:rsidP="00C153C2">
            <w:pPr>
              <w:spacing w:before="0" w:after="0" w:line="240" w:lineRule="auto"/>
              <w:rPr>
                <w:rFonts w:eastAsia="Times New Roman" w:cs="Arial"/>
                <w:color w:val="000000"/>
                <w:sz w:val="20"/>
                <w:szCs w:val="20"/>
              </w:rPr>
            </w:pPr>
            <w:r w:rsidRPr="00133147">
              <w:rPr>
                <w:rFonts w:eastAsia="Times New Roman" w:cs="Arial"/>
                <w:color w:val="000000"/>
                <w:sz w:val="20"/>
                <w:szCs w:val="20"/>
              </w:rPr>
              <w:t>Program Planning Phase</w:t>
            </w:r>
          </w:p>
        </w:tc>
        <w:tc>
          <w:tcPr>
            <w:tcW w:w="1049" w:type="dxa"/>
            <w:noWrap/>
            <w:vAlign w:val="center"/>
            <w:hideMark/>
          </w:tcPr>
          <w:p w14:paraId="2A5C0D49" w14:textId="6D720CCF"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413</w:t>
            </w:r>
          </w:p>
        </w:tc>
        <w:tc>
          <w:tcPr>
            <w:tcW w:w="1010" w:type="dxa"/>
            <w:noWrap/>
            <w:vAlign w:val="center"/>
            <w:hideMark/>
          </w:tcPr>
          <w:p w14:paraId="28767161"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04/01/21</w:t>
            </w:r>
          </w:p>
        </w:tc>
        <w:tc>
          <w:tcPr>
            <w:tcW w:w="1080" w:type="dxa"/>
            <w:noWrap/>
            <w:vAlign w:val="center"/>
            <w:hideMark/>
          </w:tcPr>
          <w:p w14:paraId="62E85121"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10/31/22</w:t>
            </w:r>
          </w:p>
        </w:tc>
        <w:tc>
          <w:tcPr>
            <w:tcW w:w="2711" w:type="dxa"/>
            <w:vAlign w:val="center"/>
            <w:hideMark/>
          </w:tcPr>
          <w:p w14:paraId="057D565A"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55DF6680"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5AA5A83F" w14:textId="77777777" w:rsidR="00133147" w:rsidRPr="004D1CBD" w:rsidRDefault="14BC549F" w:rsidP="727BFE15">
            <w:pPr>
              <w:spacing w:before="0" w:after="0" w:line="240" w:lineRule="auto"/>
              <w:ind w:left="252"/>
              <w:rPr>
                <w:rFonts w:eastAsia="Times New Roman" w:cs="Arial"/>
                <w:b w:val="0"/>
                <w:bCs w:val="0"/>
                <w:i/>
                <w:iCs/>
                <w:color w:val="000000"/>
                <w:sz w:val="20"/>
                <w:szCs w:val="20"/>
              </w:rPr>
            </w:pPr>
            <w:r w:rsidRPr="727BFE15">
              <w:rPr>
                <w:rFonts w:eastAsia="Times New Roman" w:cs="Arial"/>
                <w:b w:val="0"/>
                <w:bCs w:val="0"/>
                <w:i/>
                <w:iCs/>
                <w:color w:val="000000"/>
                <w:sz w:val="20"/>
                <w:szCs w:val="20"/>
              </w:rPr>
              <w:t>Program Implementation Plan, Policies &amp; Procedures, M&amp;V Plan</w:t>
            </w:r>
          </w:p>
        </w:tc>
        <w:tc>
          <w:tcPr>
            <w:tcW w:w="1049" w:type="dxa"/>
            <w:noWrap/>
            <w:vAlign w:val="center"/>
            <w:hideMark/>
          </w:tcPr>
          <w:p w14:paraId="203467A2" w14:textId="1FCBBF11"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45</w:t>
            </w:r>
          </w:p>
        </w:tc>
        <w:tc>
          <w:tcPr>
            <w:tcW w:w="1010" w:type="dxa"/>
            <w:noWrap/>
            <w:vAlign w:val="center"/>
            <w:hideMark/>
          </w:tcPr>
          <w:p w14:paraId="1578772A"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04/15/22</w:t>
            </w:r>
          </w:p>
        </w:tc>
        <w:tc>
          <w:tcPr>
            <w:tcW w:w="1080" w:type="dxa"/>
            <w:noWrap/>
            <w:vAlign w:val="center"/>
            <w:hideMark/>
          </w:tcPr>
          <w:p w14:paraId="49803A68"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06/16/22</w:t>
            </w:r>
          </w:p>
        </w:tc>
        <w:tc>
          <w:tcPr>
            <w:tcW w:w="2711" w:type="dxa"/>
            <w:vAlign w:val="center"/>
            <w:hideMark/>
          </w:tcPr>
          <w:p w14:paraId="574D91CE"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C153C2" w:rsidRPr="00133147" w14:paraId="0A05C7D8" w14:textId="77777777" w:rsidTr="727BFE15">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766C0E18" w14:textId="77777777" w:rsidR="00133147" w:rsidRPr="00133147" w:rsidRDefault="00133147" w:rsidP="00C153C2">
            <w:pPr>
              <w:spacing w:before="0" w:after="0" w:line="240" w:lineRule="auto"/>
              <w:ind w:left="252"/>
              <w:rPr>
                <w:rFonts w:eastAsia="Times New Roman" w:cs="Arial"/>
                <w:b w:val="0"/>
                <w:bCs w:val="0"/>
                <w:color w:val="000000"/>
                <w:sz w:val="20"/>
                <w:szCs w:val="20"/>
              </w:rPr>
            </w:pPr>
            <w:r w:rsidRPr="00133147">
              <w:rPr>
                <w:rFonts w:eastAsia="Times New Roman" w:cs="Arial"/>
                <w:b w:val="0"/>
                <w:bCs w:val="0"/>
                <w:color w:val="000000"/>
                <w:sz w:val="20"/>
                <w:szCs w:val="20"/>
              </w:rPr>
              <w:t>Community workshops to present implementation plan</w:t>
            </w:r>
          </w:p>
        </w:tc>
        <w:tc>
          <w:tcPr>
            <w:tcW w:w="1049" w:type="dxa"/>
            <w:noWrap/>
            <w:vAlign w:val="center"/>
            <w:hideMark/>
          </w:tcPr>
          <w:p w14:paraId="2A65A781" w14:textId="2424D3BD"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20</w:t>
            </w:r>
          </w:p>
        </w:tc>
        <w:tc>
          <w:tcPr>
            <w:tcW w:w="1010" w:type="dxa"/>
            <w:noWrap/>
            <w:vAlign w:val="center"/>
            <w:hideMark/>
          </w:tcPr>
          <w:p w14:paraId="18D7D236"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06/17/22</w:t>
            </w:r>
          </w:p>
        </w:tc>
        <w:tc>
          <w:tcPr>
            <w:tcW w:w="1080" w:type="dxa"/>
            <w:noWrap/>
            <w:vAlign w:val="center"/>
            <w:hideMark/>
          </w:tcPr>
          <w:p w14:paraId="2AA82CFF"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07/14/22</w:t>
            </w:r>
          </w:p>
        </w:tc>
        <w:tc>
          <w:tcPr>
            <w:tcW w:w="2711" w:type="dxa"/>
            <w:vAlign w:val="center"/>
            <w:hideMark/>
          </w:tcPr>
          <w:p w14:paraId="10D30224"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Emphasize CBOs and related organizations that could contribute to marketing and outreach</w:t>
            </w:r>
          </w:p>
        </w:tc>
      </w:tr>
      <w:tr w:rsidR="00C153C2" w:rsidRPr="00133147" w14:paraId="2CA6A207" w14:textId="77777777" w:rsidTr="727BFE15">
        <w:trPr>
          <w:trHeight w:val="792"/>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AD055C1" w14:textId="77777777" w:rsidR="00133147" w:rsidRPr="00133147" w:rsidRDefault="00133147" w:rsidP="00C153C2">
            <w:pPr>
              <w:spacing w:before="0" w:after="0" w:line="240" w:lineRule="auto"/>
              <w:ind w:left="252"/>
              <w:rPr>
                <w:rFonts w:eastAsia="Times New Roman" w:cs="Arial"/>
                <w:b w:val="0"/>
                <w:bCs w:val="0"/>
                <w:color w:val="000000"/>
                <w:sz w:val="20"/>
                <w:szCs w:val="20"/>
              </w:rPr>
            </w:pPr>
            <w:r w:rsidRPr="00133147">
              <w:rPr>
                <w:rFonts w:eastAsia="Times New Roman" w:cs="Arial"/>
                <w:b w:val="0"/>
                <w:bCs w:val="0"/>
                <w:color w:val="000000"/>
                <w:sz w:val="20"/>
                <w:szCs w:val="20"/>
              </w:rPr>
              <w:t>Secure Program Operator services</w:t>
            </w:r>
          </w:p>
        </w:tc>
        <w:tc>
          <w:tcPr>
            <w:tcW w:w="1049" w:type="dxa"/>
            <w:noWrap/>
            <w:vAlign w:val="center"/>
            <w:hideMark/>
          </w:tcPr>
          <w:p w14:paraId="45768E00" w14:textId="06945A36"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403</w:t>
            </w:r>
          </w:p>
        </w:tc>
        <w:tc>
          <w:tcPr>
            <w:tcW w:w="1010" w:type="dxa"/>
            <w:noWrap/>
            <w:vAlign w:val="center"/>
            <w:hideMark/>
          </w:tcPr>
          <w:p w14:paraId="70327B60"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04/15/21</w:t>
            </w:r>
          </w:p>
        </w:tc>
        <w:tc>
          <w:tcPr>
            <w:tcW w:w="1080" w:type="dxa"/>
            <w:noWrap/>
            <w:vAlign w:val="center"/>
            <w:hideMark/>
          </w:tcPr>
          <w:p w14:paraId="5BB408DC"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10/31/22</w:t>
            </w:r>
          </w:p>
        </w:tc>
        <w:tc>
          <w:tcPr>
            <w:tcW w:w="2711" w:type="dxa"/>
            <w:vAlign w:val="center"/>
            <w:hideMark/>
          </w:tcPr>
          <w:p w14:paraId="24C4CAD9" w14:textId="260F3393" w:rsidR="00133147" w:rsidRPr="00133147" w:rsidRDefault="14BC549F"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Get agreement on terms by 9/15</w:t>
            </w:r>
            <w:r w:rsidR="2DBDFB5B" w:rsidRPr="727BFE15">
              <w:rPr>
                <w:rFonts w:eastAsia="Times New Roman" w:cs="Arial"/>
                <w:color w:val="000000"/>
                <w:sz w:val="20"/>
                <w:szCs w:val="20"/>
              </w:rPr>
              <w:t>,</w:t>
            </w:r>
            <w:r w:rsidRPr="727BFE15">
              <w:rPr>
                <w:rFonts w:eastAsia="Times New Roman" w:cs="Arial"/>
                <w:color w:val="000000"/>
                <w:sz w:val="20"/>
                <w:szCs w:val="20"/>
              </w:rPr>
              <w:t xml:space="preserve"> but don't execute until the governing body signs off on the final plan</w:t>
            </w:r>
          </w:p>
        </w:tc>
      </w:tr>
      <w:tr w:rsidR="00C153C2" w:rsidRPr="00133147" w14:paraId="782303C2"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0FA2AD0E" w14:textId="77777777" w:rsidR="00133147" w:rsidRPr="00133147" w:rsidRDefault="00133147" w:rsidP="00C153C2">
            <w:pPr>
              <w:spacing w:before="0" w:after="0" w:line="240" w:lineRule="auto"/>
              <w:ind w:left="252"/>
              <w:rPr>
                <w:rFonts w:eastAsia="Times New Roman" w:cs="Arial"/>
                <w:b w:val="0"/>
                <w:bCs w:val="0"/>
                <w:color w:val="000000"/>
                <w:sz w:val="20"/>
                <w:szCs w:val="20"/>
              </w:rPr>
            </w:pPr>
            <w:r w:rsidRPr="00133147">
              <w:rPr>
                <w:rFonts w:eastAsia="Times New Roman" w:cs="Arial"/>
                <w:b w:val="0"/>
                <w:bCs w:val="0"/>
                <w:color w:val="000000"/>
                <w:sz w:val="20"/>
                <w:szCs w:val="20"/>
              </w:rPr>
              <w:t>Secure sources of capital</w:t>
            </w:r>
          </w:p>
        </w:tc>
        <w:tc>
          <w:tcPr>
            <w:tcW w:w="1049" w:type="dxa"/>
            <w:noWrap/>
            <w:vAlign w:val="center"/>
            <w:hideMark/>
          </w:tcPr>
          <w:p w14:paraId="6ED5A2A3" w14:textId="1F24D466"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120</w:t>
            </w:r>
          </w:p>
        </w:tc>
        <w:tc>
          <w:tcPr>
            <w:tcW w:w="1010" w:type="dxa"/>
            <w:noWrap/>
            <w:vAlign w:val="center"/>
            <w:hideMark/>
          </w:tcPr>
          <w:p w14:paraId="14CD3C08"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04/15/22</w:t>
            </w:r>
          </w:p>
        </w:tc>
        <w:tc>
          <w:tcPr>
            <w:tcW w:w="1080" w:type="dxa"/>
            <w:noWrap/>
            <w:vAlign w:val="center"/>
            <w:hideMark/>
          </w:tcPr>
          <w:p w14:paraId="2084B947"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09/29/22</w:t>
            </w:r>
          </w:p>
        </w:tc>
        <w:tc>
          <w:tcPr>
            <w:tcW w:w="2711" w:type="dxa"/>
            <w:vAlign w:val="center"/>
            <w:hideMark/>
          </w:tcPr>
          <w:p w14:paraId="1EC49F61"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7EC289A8" w14:textId="77777777" w:rsidTr="727BFE15">
        <w:trPr>
          <w:trHeight w:val="52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72541A2A" w14:textId="77777777" w:rsidR="00133147" w:rsidRPr="00133147" w:rsidRDefault="00133147" w:rsidP="00C153C2">
            <w:pPr>
              <w:spacing w:before="0" w:after="0" w:line="240" w:lineRule="auto"/>
              <w:ind w:left="252"/>
              <w:rPr>
                <w:rFonts w:eastAsia="Times New Roman" w:cs="Arial"/>
                <w:b w:val="0"/>
                <w:bCs w:val="0"/>
                <w:color w:val="000000"/>
                <w:sz w:val="20"/>
                <w:szCs w:val="20"/>
              </w:rPr>
            </w:pPr>
            <w:r w:rsidRPr="00133147">
              <w:rPr>
                <w:rFonts w:eastAsia="Times New Roman" w:cs="Arial"/>
                <w:b w:val="0"/>
                <w:bCs w:val="0"/>
                <w:color w:val="000000"/>
                <w:sz w:val="20"/>
                <w:szCs w:val="20"/>
              </w:rPr>
              <w:t>Revise plan as needed in response to proceeding comments and community feedback</w:t>
            </w:r>
          </w:p>
        </w:tc>
        <w:tc>
          <w:tcPr>
            <w:tcW w:w="1049" w:type="dxa"/>
            <w:noWrap/>
            <w:vAlign w:val="center"/>
            <w:hideMark/>
          </w:tcPr>
          <w:p w14:paraId="1F7CC4A8" w14:textId="6BBF855E"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20</w:t>
            </w:r>
          </w:p>
        </w:tc>
        <w:tc>
          <w:tcPr>
            <w:tcW w:w="1010" w:type="dxa"/>
            <w:noWrap/>
            <w:vAlign w:val="center"/>
            <w:hideMark/>
          </w:tcPr>
          <w:p w14:paraId="10911D34"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07/11/22</w:t>
            </w:r>
          </w:p>
        </w:tc>
        <w:tc>
          <w:tcPr>
            <w:tcW w:w="1080" w:type="dxa"/>
            <w:noWrap/>
            <w:vAlign w:val="center"/>
            <w:hideMark/>
          </w:tcPr>
          <w:p w14:paraId="2A1A01E6"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08/05/22</w:t>
            </w:r>
          </w:p>
        </w:tc>
        <w:tc>
          <w:tcPr>
            <w:tcW w:w="2711" w:type="dxa"/>
            <w:vAlign w:val="center"/>
            <w:hideMark/>
          </w:tcPr>
          <w:p w14:paraId="42C79C43"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C153C2" w:rsidRPr="00133147" w14:paraId="61F9A465"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0C1511ED" w14:textId="77777777" w:rsidR="00133147" w:rsidRPr="00133147" w:rsidRDefault="00133147" w:rsidP="00C153C2">
            <w:pPr>
              <w:spacing w:before="0" w:after="0" w:line="240" w:lineRule="auto"/>
              <w:ind w:left="252"/>
              <w:rPr>
                <w:rFonts w:eastAsia="Times New Roman" w:cs="Arial"/>
                <w:b w:val="0"/>
                <w:bCs w:val="0"/>
                <w:color w:val="000000"/>
                <w:sz w:val="20"/>
                <w:szCs w:val="20"/>
              </w:rPr>
            </w:pPr>
            <w:r w:rsidRPr="00133147">
              <w:rPr>
                <w:rFonts w:eastAsia="Times New Roman" w:cs="Arial"/>
                <w:b w:val="0"/>
                <w:bCs w:val="0"/>
                <w:color w:val="000000"/>
                <w:sz w:val="20"/>
                <w:szCs w:val="20"/>
              </w:rPr>
              <w:t>Submit draft plan to LSE executive leadership for review and approval</w:t>
            </w:r>
          </w:p>
        </w:tc>
        <w:tc>
          <w:tcPr>
            <w:tcW w:w="1049" w:type="dxa"/>
            <w:noWrap/>
            <w:vAlign w:val="center"/>
            <w:hideMark/>
          </w:tcPr>
          <w:p w14:paraId="1F5D6B9E" w14:textId="1A3543BD"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45</w:t>
            </w:r>
          </w:p>
        </w:tc>
        <w:tc>
          <w:tcPr>
            <w:tcW w:w="1010" w:type="dxa"/>
            <w:noWrap/>
            <w:vAlign w:val="center"/>
            <w:hideMark/>
          </w:tcPr>
          <w:p w14:paraId="5DF660EB"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08/08/22</w:t>
            </w:r>
          </w:p>
        </w:tc>
        <w:tc>
          <w:tcPr>
            <w:tcW w:w="1080" w:type="dxa"/>
            <w:noWrap/>
            <w:vAlign w:val="center"/>
            <w:hideMark/>
          </w:tcPr>
          <w:p w14:paraId="4FF0ED03"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10/07/22</w:t>
            </w:r>
          </w:p>
        </w:tc>
        <w:tc>
          <w:tcPr>
            <w:tcW w:w="2711" w:type="dxa"/>
            <w:vAlign w:val="center"/>
            <w:hideMark/>
          </w:tcPr>
          <w:p w14:paraId="68C17D87"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752F64" w:rsidRPr="00133147" w14:paraId="12451637"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tcPr>
          <w:p w14:paraId="535C8AE5" w14:textId="48A7BC78" w:rsidR="00752F64" w:rsidRPr="00133147" w:rsidRDefault="00752F64" w:rsidP="00752F64">
            <w:pPr>
              <w:spacing w:before="0" w:after="0" w:line="240" w:lineRule="auto"/>
              <w:ind w:left="252"/>
              <w:rPr>
                <w:rFonts w:eastAsia="Times New Roman" w:cs="Arial"/>
                <w:color w:val="000000"/>
                <w:sz w:val="20"/>
                <w:szCs w:val="20"/>
              </w:rPr>
            </w:pPr>
            <w:r w:rsidRPr="00553E03">
              <w:rPr>
                <w:rFonts w:eastAsia="Times New Roman" w:cs="Arial"/>
                <w:b w:val="0"/>
                <w:bCs w:val="0"/>
                <w:color w:val="000000"/>
                <w:sz w:val="20"/>
                <w:szCs w:val="20"/>
              </w:rPr>
              <w:t>Recruit installer contractors</w:t>
            </w:r>
          </w:p>
        </w:tc>
        <w:tc>
          <w:tcPr>
            <w:tcW w:w="1049" w:type="dxa"/>
            <w:noWrap/>
            <w:vAlign w:val="center"/>
          </w:tcPr>
          <w:p w14:paraId="20496635" w14:textId="1CEFF8CB" w:rsidR="00752F64" w:rsidRPr="00133147" w:rsidRDefault="6F67FFF0" w:rsidP="00752F6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332</w:t>
            </w:r>
          </w:p>
        </w:tc>
        <w:tc>
          <w:tcPr>
            <w:tcW w:w="1010" w:type="dxa"/>
            <w:noWrap/>
            <w:vAlign w:val="center"/>
          </w:tcPr>
          <w:p w14:paraId="3AE2D220" w14:textId="30AF3701" w:rsidR="00752F64" w:rsidRPr="00133147" w:rsidRDefault="00752F64" w:rsidP="00752F6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09/16/21</w:t>
            </w:r>
          </w:p>
        </w:tc>
        <w:tc>
          <w:tcPr>
            <w:tcW w:w="1080" w:type="dxa"/>
            <w:noWrap/>
            <w:vAlign w:val="center"/>
          </w:tcPr>
          <w:p w14:paraId="2AA3EB6B" w14:textId="4CDDE40D" w:rsidR="00752F64" w:rsidRPr="00133147" w:rsidRDefault="00752F64" w:rsidP="00752F64">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12/23/22</w:t>
            </w:r>
          </w:p>
        </w:tc>
        <w:tc>
          <w:tcPr>
            <w:tcW w:w="2711" w:type="dxa"/>
            <w:vAlign w:val="center"/>
          </w:tcPr>
          <w:p w14:paraId="6D8B40E2" w14:textId="231FA3EF" w:rsidR="00752F64" w:rsidRPr="00133147" w:rsidRDefault="6F67FFF0" w:rsidP="00752F6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 xml:space="preserve">Release installer </w:t>
            </w:r>
            <w:r w:rsidR="4DEC674C" w:rsidRPr="727BFE15">
              <w:rPr>
                <w:rFonts w:eastAsia="Times New Roman" w:cs="Arial"/>
                <w:color w:val="000000"/>
                <w:sz w:val="20"/>
                <w:szCs w:val="20"/>
              </w:rPr>
              <w:t>Request for Qualifications</w:t>
            </w:r>
            <w:r w:rsidRPr="727BFE15">
              <w:rPr>
                <w:rFonts w:eastAsia="Times New Roman" w:cs="Arial"/>
                <w:color w:val="000000"/>
                <w:sz w:val="20"/>
                <w:szCs w:val="20"/>
              </w:rPr>
              <w:t xml:space="preserve"> as soon as governing body approves final plan</w:t>
            </w:r>
          </w:p>
        </w:tc>
      </w:tr>
      <w:tr w:rsidR="00C153C2" w:rsidRPr="00133147" w14:paraId="118BC2B6"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124964D" w14:textId="77777777" w:rsidR="00C153C2" w:rsidRPr="00133147" w:rsidRDefault="00C153C2" w:rsidP="00C153C2">
            <w:pPr>
              <w:spacing w:before="0" w:after="0" w:line="240" w:lineRule="auto"/>
              <w:ind w:left="252"/>
              <w:rPr>
                <w:rFonts w:eastAsia="Times New Roman" w:cs="Arial"/>
                <w:color w:val="000000"/>
                <w:sz w:val="20"/>
                <w:szCs w:val="20"/>
              </w:rPr>
            </w:pPr>
            <w:r w:rsidRPr="00133147">
              <w:rPr>
                <w:rFonts w:eastAsia="Times New Roman" w:cs="Arial"/>
                <w:color w:val="000000"/>
                <w:sz w:val="20"/>
                <w:szCs w:val="20"/>
              </w:rPr>
              <w:t>Proposed Decision from CPUC</w:t>
            </w:r>
          </w:p>
        </w:tc>
        <w:tc>
          <w:tcPr>
            <w:tcW w:w="1049" w:type="dxa"/>
            <w:noWrap/>
            <w:vAlign w:val="center"/>
            <w:hideMark/>
          </w:tcPr>
          <w:p w14:paraId="33A6D91F" w14:textId="178F8D25" w:rsidR="00C153C2" w:rsidRPr="00133147" w:rsidRDefault="00C153C2"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p>
        </w:tc>
        <w:tc>
          <w:tcPr>
            <w:tcW w:w="2090" w:type="dxa"/>
            <w:gridSpan w:val="2"/>
            <w:noWrap/>
            <w:vAlign w:val="center"/>
            <w:hideMark/>
          </w:tcPr>
          <w:p w14:paraId="2ADA6DDF" w14:textId="7FF93C69" w:rsidR="00C153C2" w:rsidRPr="00133147" w:rsidRDefault="00C153C2" w:rsidP="00C153C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33147">
              <w:rPr>
                <w:rFonts w:eastAsia="Times New Roman" w:cs="Arial"/>
                <w:b/>
                <w:bCs/>
                <w:color w:val="000000"/>
                <w:sz w:val="20"/>
                <w:szCs w:val="20"/>
              </w:rPr>
              <w:t>09/30/22</w:t>
            </w:r>
          </w:p>
        </w:tc>
        <w:tc>
          <w:tcPr>
            <w:tcW w:w="2711" w:type="dxa"/>
            <w:vAlign w:val="center"/>
            <w:hideMark/>
          </w:tcPr>
          <w:p w14:paraId="18B5CD25" w14:textId="77777777" w:rsidR="00C153C2" w:rsidRPr="00133147" w:rsidRDefault="00C153C2"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74AA046F"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9B9716C" w14:textId="77777777" w:rsidR="00133147" w:rsidRPr="00133147" w:rsidRDefault="00133147" w:rsidP="00C153C2">
            <w:pPr>
              <w:spacing w:before="0" w:after="0" w:line="240" w:lineRule="auto"/>
              <w:ind w:left="252"/>
              <w:rPr>
                <w:rFonts w:eastAsia="Times New Roman" w:cs="Arial"/>
                <w:b w:val="0"/>
                <w:bCs w:val="0"/>
                <w:color w:val="000000"/>
                <w:sz w:val="20"/>
                <w:szCs w:val="20"/>
              </w:rPr>
            </w:pPr>
            <w:r w:rsidRPr="00133147">
              <w:rPr>
                <w:rFonts w:eastAsia="Times New Roman" w:cs="Arial"/>
                <w:b w:val="0"/>
                <w:bCs w:val="0"/>
                <w:color w:val="000000"/>
                <w:sz w:val="20"/>
                <w:szCs w:val="20"/>
              </w:rPr>
              <w:t>Finalize plan</w:t>
            </w:r>
          </w:p>
        </w:tc>
        <w:tc>
          <w:tcPr>
            <w:tcW w:w="1049" w:type="dxa"/>
            <w:noWrap/>
            <w:vAlign w:val="center"/>
            <w:hideMark/>
          </w:tcPr>
          <w:p w14:paraId="1A4103A5" w14:textId="3CAA34FF"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15</w:t>
            </w:r>
          </w:p>
        </w:tc>
        <w:tc>
          <w:tcPr>
            <w:tcW w:w="1010" w:type="dxa"/>
            <w:noWrap/>
            <w:vAlign w:val="center"/>
            <w:hideMark/>
          </w:tcPr>
          <w:p w14:paraId="4B358863"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10/10/22</w:t>
            </w:r>
          </w:p>
        </w:tc>
        <w:tc>
          <w:tcPr>
            <w:tcW w:w="1080" w:type="dxa"/>
            <w:noWrap/>
            <w:vAlign w:val="center"/>
            <w:hideMark/>
          </w:tcPr>
          <w:p w14:paraId="5FBE27B0"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10/28/22</w:t>
            </w:r>
          </w:p>
        </w:tc>
        <w:tc>
          <w:tcPr>
            <w:tcW w:w="2711" w:type="dxa"/>
            <w:vAlign w:val="center"/>
            <w:hideMark/>
          </w:tcPr>
          <w:p w14:paraId="1D057018"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C153C2" w:rsidRPr="00133147" w14:paraId="7167ABFE"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30FF945" w14:textId="77777777" w:rsidR="00C153C2" w:rsidRPr="00133147" w:rsidRDefault="00C153C2" w:rsidP="00C153C2">
            <w:pPr>
              <w:spacing w:before="0" w:after="0" w:line="240" w:lineRule="auto"/>
              <w:ind w:left="252"/>
              <w:rPr>
                <w:rFonts w:eastAsia="Times New Roman" w:cs="Arial"/>
                <w:color w:val="000000"/>
                <w:sz w:val="20"/>
                <w:szCs w:val="20"/>
              </w:rPr>
            </w:pPr>
            <w:r w:rsidRPr="00133147">
              <w:rPr>
                <w:rFonts w:eastAsia="Times New Roman" w:cs="Arial"/>
                <w:color w:val="000000"/>
                <w:sz w:val="20"/>
                <w:szCs w:val="20"/>
              </w:rPr>
              <w:t>Commission Decision</w:t>
            </w:r>
          </w:p>
        </w:tc>
        <w:tc>
          <w:tcPr>
            <w:tcW w:w="1049" w:type="dxa"/>
            <w:noWrap/>
            <w:vAlign w:val="center"/>
            <w:hideMark/>
          </w:tcPr>
          <w:p w14:paraId="56DAB005" w14:textId="5634A8A0" w:rsidR="00C153C2" w:rsidRPr="00133147" w:rsidRDefault="00C153C2"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p>
        </w:tc>
        <w:tc>
          <w:tcPr>
            <w:tcW w:w="2090" w:type="dxa"/>
            <w:gridSpan w:val="2"/>
            <w:noWrap/>
            <w:vAlign w:val="center"/>
            <w:hideMark/>
          </w:tcPr>
          <w:p w14:paraId="6B36EF44" w14:textId="0D7F68E0" w:rsidR="00C153C2" w:rsidRPr="00133147" w:rsidRDefault="00C153C2" w:rsidP="00C153C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133147">
              <w:rPr>
                <w:rFonts w:eastAsia="Times New Roman" w:cs="Arial"/>
                <w:b/>
                <w:bCs/>
                <w:color w:val="000000"/>
                <w:sz w:val="20"/>
                <w:szCs w:val="20"/>
              </w:rPr>
              <w:t>10/31/22</w:t>
            </w:r>
          </w:p>
        </w:tc>
        <w:tc>
          <w:tcPr>
            <w:tcW w:w="2711" w:type="dxa"/>
            <w:vAlign w:val="center"/>
            <w:hideMark/>
          </w:tcPr>
          <w:p w14:paraId="35860481" w14:textId="77777777" w:rsidR="00C153C2" w:rsidRPr="00133147" w:rsidRDefault="00C153C2"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15F6EDB8"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13E1507" w14:textId="77777777" w:rsidR="00133147" w:rsidRPr="00133147" w:rsidRDefault="00133147" w:rsidP="00C153C2">
            <w:pPr>
              <w:spacing w:before="0" w:after="0" w:line="240" w:lineRule="auto"/>
              <w:rPr>
                <w:rFonts w:eastAsia="Times New Roman"/>
                <w:b w:val="0"/>
                <w:bCs w:val="0"/>
                <w:color w:val="auto"/>
                <w:sz w:val="20"/>
                <w:szCs w:val="20"/>
              </w:rPr>
            </w:pPr>
          </w:p>
        </w:tc>
        <w:tc>
          <w:tcPr>
            <w:tcW w:w="1049" w:type="dxa"/>
            <w:noWrap/>
            <w:vAlign w:val="center"/>
            <w:hideMark/>
          </w:tcPr>
          <w:p w14:paraId="35B97ACC"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p>
        </w:tc>
        <w:tc>
          <w:tcPr>
            <w:tcW w:w="1010" w:type="dxa"/>
            <w:noWrap/>
            <w:vAlign w:val="center"/>
            <w:hideMark/>
          </w:tcPr>
          <w:p w14:paraId="27A8A201"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p>
        </w:tc>
        <w:tc>
          <w:tcPr>
            <w:tcW w:w="1080" w:type="dxa"/>
            <w:noWrap/>
            <w:vAlign w:val="center"/>
            <w:hideMark/>
          </w:tcPr>
          <w:p w14:paraId="0B5BB531"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p>
        </w:tc>
        <w:tc>
          <w:tcPr>
            <w:tcW w:w="2711" w:type="dxa"/>
            <w:vAlign w:val="center"/>
            <w:hideMark/>
          </w:tcPr>
          <w:p w14:paraId="5842CE73"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auto"/>
                <w:sz w:val="20"/>
                <w:szCs w:val="20"/>
              </w:rPr>
            </w:pPr>
          </w:p>
        </w:tc>
      </w:tr>
      <w:tr w:rsidR="00C153C2" w:rsidRPr="00133147" w14:paraId="37BB6F00" w14:textId="77777777" w:rsidTr="727BFE15">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D0A5A73" w14:textId="77777777" w:rsidR="00133147" w:rsidRPr="00133147" w:rsidRDefault="00133147" w:rsidP="00C153C2">
            <w:pPr>
              <w:spacing w:before="0" w:after="0" w:line="240" w:lineRule="auto"/>
              <w:rPr>
                <w:rFonts w:eastAsia="Times New Roman" w:cs="Arial"/>
                <w:color w:val="000000"/>
                <w:sz w:val="20"/>
                <w:szCs w:val="20"/>
              </w:rPr>
            </w:pPr>
            <w:r w:rsidRPr="00133147">
              <w:rPr>
                <w:rFonts w:eastAsia="Times New Roman" w:cs="Arial"/>
                <w:color w:val="000000"/>
                <w:sz w:val="20"/>
                <w:szCs w:val="20"/>
              </w:rPr>
              <w:t>Program Implementation Phase</w:t>
            </w:r>
          </w:p>
        </w:tc>
        <w:tc>
          <w:tcPr>
            <w:tcW w:w="1049" w:type="dxa"/>
            <w:noWrap/>
            <w:vAlign w:val="center"/>
            <w:hideMark/>
          </w:tcPr>
          <w:p w14:paraId="513CC6DE" w14:textId="142900AE"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1120</w:t>
            </w:r>
          </w:p>
        </w:tc>
        <w:tc>
          <w:tcPr>
            <w:tcW w:w="1010" w:type="dxa"/>
            <w:noWrap/>
            <w:vAlign w:val="center"/>
            <w:hideMark/>
          </w:tcPr>
          <w:p w14:paraId="23A60B5E"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09/16/21</w:t>
            </w:r>
          </w:p>
        </w:tc>
        <w:tc>
          <w:tcPr>
            <w:tcW w:w="1080" w:type="dxa"/>
            <w:noWrap/>
            <w:vAlign w:val="center"/>
            <w:hideMark/>
          </w:tcPr>
          <w:p w14:paraId="340ECB06"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12/31/25</w:t>
            </w:r>
          </w:p>
        </w:tc>
        <w:tc>
          <w:tcPr>
            <w:tcW w:w="2711" w:type="dxa"/>
            <w:vAlign w:val="center"/>
            <w:hideMark/>
          </w:tcPr>
          <w:p w14:paraId="368F6FA9"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Specific scope and timeline subject to joint planning outcomes</w:t>
            </w:r>
          </w:p>
        </w:tc>
      </w:tr>
      <w:tr w:rsidR="00C153C2" w:rsidRPr="00133147" w14:paraId="55188C9B"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011543E9" w14:textId="77777777" w:rsidR="00133147" w:rsidRPr="00553E03" w:rsidRDefault="00133147" w:rsidP="00C153C2">
            <w:pPr>
              <w:spacing w:before="0" w:after="0" w:line="240" w:lineRule="auto"/>
              <w:ind w:left="252"/>
              <w:rPr>
                <w:rFonts w:eastAsia="Times New Roman" w:cs="Arial"/>
                <w:b w:val="0"/>
                <w:bCs w:val="0"/>
                <w:color w:val="000000"/>
                <w:sz w:val="20"/>
                <w:szCs w:val="20"/>
              </w:rPr>
            </w:pPr>
            <w:r w:rsidRPr="00553E03">
              <w:rPr>
                <w:rFonts w:eastAsia="Times New Roman" w:cs="Arial"/>
                <w:b w:val="0"/>
                <w:bCs w:val="0"/>
                <w:color w:val="000000"/>
                <w:sz w:val="20"/>
                <w:szCs w:val="20"/>
              </w:rPr>
              <w:t>Perform meter-based customer targeting analysis</w:t>
            </w:r>
          </w:p>
        </w:tc>
        <w:tc>
          <w:tcPr>
            <w:tcW w:w="1049" w:type="dxa"/>
            <w:noWrap/>
            <w:vAlign w:val="center"/>
            <w:hideMark/>
          </w:tcPr>
          <w:p w14:paraId="27DAF054" w14:textId="054E87A9"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20</w:t>
            </w:r>
          </w:p>
        </w:tc>
        <w:tc>
          <w:tcPr>
            <w:tcW w:w="1010" w:type="dxa"/>
            <w:noWrap/>
            <w:vAlign w:val="center"/>
            <w:hideMark/>
          </w:tcPr>
          <w:p w14:paraId="15428037"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10/31/22</w:t>
            </w:r>
          </w:p>
        </w:tc>
        <w:tc>
          <w:tcPr>
            <w:tcW w:w="1080" w:type="dxa"/>
            <w:noWrap/>
            <w:vAlign w:val="center"/>
            <w:hideMark/>
          </w:tcPr>
          <w:p w14:paraId="333D77B7"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11/25/22</w:t>
            </w:r>
          </w:p>
        </w:tc>
        <w:tc>
          <w:tcPr>
            <w:tcW w:w="2711" w:type="dxa"/>
            <w:vAlign w:val="center"/>
            <w:hideMark/>
          </w:tcPr>
          <w:p w14:paraId="58266C60"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C153C2" w:rsidRPr="00133147" w14:paraId="3296EC94"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29D703DB" w14:textId="064BECB5" w:rsidR="00133147" w:rsidRPr="00553E03" w:rsidRDefault="7CEFD95F" w:rsidP="00C153C2">
            <w:pPr>
              <w:spacing w:before="0" w:after="0" w:line="240" w:lineRule="auto"/>
              <w:ind w:left="252"/>
              <w:rPr>
                <w:rFonts w:eastAsia="Times New Roman" w:cs="Arial"/>
                <w:b w:val="0"/>
                <w:bCs w:val="0"/>
                <w:color w:val="000000"/>
                <w:sz w:val="20"/>
                <w:szCs w:val="20"/>
              </w:rPr>
            </w:pPr>
            <w:r w:rsidRPr="5DC7ABCB">
              <w:rPr>
                <w:rFonts w:eastAsia="Times New Roman" w:cs="Arial"/>
                <w:b w:val="0"/>
                <w:bCs w:val="0"/>
                <w:color w:val="000000"/>
                <w:sz w:val="20"/>
                <w:szCs w:val="20"/>
              </w:rPr>
              <w:t>Utility establishes cost recovery mechanisms on billing system</w:t>
            </w:r>
          </w:p>
        </w:tc>
        <w:tc>
          <w:tcPr>
            <w:tcW w:w="1049" w:type="dxa"/>
            <w:noWrap/>
            <w:vAlign w:val="center"/>
            <w:hideMark/>
          </w:tcPr>
          <w:p w14:paraId="38BBB177" w14:textId="2AE160DC"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90</w:t>
            </w:r>
          </w:p>
        </w:tc>
        <w:tc>
          <w:tcPr>
            <w:tcW w:w="1010" w:type="dxa"/>
            <w:noWrap/>
            <w:vAlign w:val="center"/>
            <w:hideMark/>
          </w:tcPr>
          <w:p w14:paraId="1393F1F5"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10/31/22</w:t>
            </w:r>
          </w:p>
        </w:tc>
        <w:tc>
          <w:tcPr>
            <w:tcW w:w="1080" w:type="dxa"/>
            <w:noWrap/>
            <w:vAlign w:val="center"/>
            <w:hideMark/>
          </w:tcPr>
          <w:p w14:paraId="2DB601AC"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03/03/23</w:t>
            </w:r>
          </w:p>
        </w:tc>
        <w:tc>
          <w:tcPr>
            <w:tcW w:w="2711" w:type="dxa"/>
            <w:vAlign w:val="center"/>
            <w:hideMark/>
          </w:tcPr>
          <w:p w14:paraId="3A6AE9C5"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1668454A"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62FEC494" w14:textId="1689E2BD" w:rsidR="00C153C2" w:rsidRPr="00FF62ED" w:rsidRDefault="00C153C2" w:rsidP="00C153C2">
            <w:pPr>
              <w:spacing w:before="0" w:after="0" w:line="240" w:lineRule="auto"/>
              <w:ind w:left="252"/>
              <w:rPr>
                <w:rFonts w:eastAsia="Times New Roman" w:cs="Arial"/>
                <w:color w:val="auto"/>
                <w:sz w:val="20"/>
                <w:szCs w:val="20"/>
              </w:rPr>
            </w:pPr>
            <w:r w:rsidRPr="00FF62ED">
              <w:rPr>
                <w:rFonts w:eastAsia="Times New Roman" w:cs="Arial"/>
                <w:color w:val="auto"/>
                <w:sz w:val="20"/>
                <w:szCs w:val="20"/>
              </w:rPr>
              <w:t>TOB Program Launch</w:t>
            </w:r>
          </w:p>
        </w:tc>
        <w:tc>
          <w:tcPr>
            <w:tcW w:w="1049" w:type="dxa"/>
            <w:noWrap/>
            <w:vAlign w:val="center"/>
            <w:hideMark/>
          </w:tcPr>
          <w:p w14:paraId="62C8414C" w14:textId="3E79267F" w:rsidR="00C153C2" w:rsidRPr="00133147" w:rsidRDefault="00C153C2"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p>
        </w:tc>
        <w:tc>
          <w:tcPr>
            <w:tcW w:w="2090" w:type="dxa"/>
            <w:gridSpan w:val="2"/>
            <w:noWrap/>
            <w:vAlign w:val="center"/>
            <w:hideMark/>
          </w:tcPr>
          <w:p w14:paraId="75993843" w14:textId="4A1D3570" w:rsidR="00C153C2" w:rsidRPr="00133147" w:rsidRDefault="00C153C2" w:rsidP="00C153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133147">
              <w:rPr>
                <w:rFonts w:eastAsia="Times New Roman" w:cs="Arial"/>
                <w:b/>
                <w:bCs/>
                <w:color w:val="000000"/>
                <w:sz w:val="20"/>
                <w:szCs w:val="20"/>
              </w:rPr>
              <w:t>1/0</w:t>
            </w:r>
            <w:r w:rsidR="00553E03">
              <w:rPr>
                <w:rFonts w:eastAsia="Times New Roman" w:cs="Arial"/>
                <w:b/>
                <w:bCs/>
                <w:color w:val="000000"/>
                <w:sz w:val="20"/>
                <w:szCs w:val="20"/>
              </w:rPr>
              <w:t>2</w:t>
            </w:r>
            <w:r w:rsidRPr="00133147">
              <w:rPr>
                <w:rFonts w:eastAsia="Times New Roman" w:cs="Arial"/>
                <w:b/>
                <w:bCs/>
                <w:color w:val="000000"/>
                <w:sz w:val="20"/>
                <w:szCs w:val="20"/>
              </w:rPr>
              <w:t>/2</w:t>
            </w:r>
            <w:r w:rsidR="00553E03">
              <w:rPr>
                <w:rFonts w:eastAsia="Times New Roman" w:cs="Arial"/>
                <w:b/>
                <w:bCs/>
                <w:color w:val="000000"/>
                <w:sz w:val="20"/>
                <w:szCs w:val="20"/>
              </w:rPr>
              <w:t>3</w:t>
            </w:r>
          </w:p>
        </w:tc>
        <w:tc>
          <w:tcPr>
            <w:tcW w:w="2711" w:type="dxa"/>
            <w:vAlign w:val="center"/>
            <w:hideMark/>
          </w:tcPr>
          <w:p w14:paraId="12104D0A" w14:textId="77777777" w:rsidR="00C153C2" w:rsidRPr="00133147" w:rsidRDefault="00C153C2"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rPr>
            </w:pPr>
            <w:r w:rsidRPr="00133147">
              <w:rPr>
                <w:rFonts w:eastAsia="Times New Roman" w:cs="Arial"/>
                <w:b/>
                <w:bCs/>
                <w:color w:val="000000"/>
                <w:sz w:val="20"/>
                <w:szCs w:val="20"/>
              </w:rPr>
              <w:t>Launch marketing and outreach campaign</w:t>
            </w:r>
          </w:p>
        </w:tc>
      </w:tr>
      <w:tr w:rsidR="00C153C2" w:rsidRPr="00133147" w14:paraId="459E4AE1"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936D464" w14:textId="77777777" w:rsidR="00133147" w:rsidRPr="00553E03" w:rsidRDefault="00133147" w:rsidP="00C153C2">
            <w:pPr>
              <w:spacing w:before="0" w:after="0" w:line="240" w:lineRule="auto"/>
              <w:ind w:left="252"/>
              <w:rPr>
                <w:rFonts w:eastAsia="Times New Roman" w:cs="Arial"/>
                <w:b w:val="0"/>
                <w:bCs w:val="0"/>
                <w:color w:val="000000"/>
                <w:sz w:val="20"/>
                <w:szCs w:val="20"/>
              </w:rPr>
            </w:pPr>
            <w:r w:rsidRPr="00553E03">
              <w:rPr>
                <w:rFonts w:eastAsia="Times New Roman" w:cs="Arial"/>
                <w:b w:val="0"/>
                <w:bCs w:val="0"/>
                <w:color w:val="000000"/>
                <w:sz w:val="20"/>
                <w:szCs w:val="20"/>
              </w:rPr>
              <w:t>Conduct installer onboarding</w:t>
            </w:r>
          </w:p>
        </w:tc>
        <w:tc>
          <w:tcPr>
            <w:tcW w:w="1049" w:type="dxa"/>
            <w:noWrap/>
            <w:vAlign w:val="center"/>
            <w:hideMark/>
          </w:tcPr>
          <w:p w14:paraId="077ED620" w14:textId="54B24D80"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20</w:t>
            </w:r>
          </w:p>
        </w:tc>
        <w:tc>
          <w:tcPr>
            <w:tcW w:w="1010" w:type="dxa"/>
            <w:noWrap/>
            <w:vAlign w:val="center"/>
            <w:hideMark/>
          </w:tcPr>
          <w:p w14:paraId="27E93C47"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01/02/23</w:t>
            </w:r>
          </w:p>
        </w:tc>
        <w:tc>
          <w:tcPr>
            <w:tcW w:w="1080" w:type="dxa"/>
            <w:noWrap/>
            <w:vAlign w:val="center"/>
            <w:hideMark/>
          </w:tcPr>
          <w:p w14:paraId="39BA418A"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01/27/23</w:t>
            </w:r>
          </w:p>
        </w:tc>
        <w:tc>
          <w:tcPr>
            <w:tcW w:w="2711" w:type="dxa"/>
            <w:vAlign w:val="center"/>
            <w:hideMark/>
          </w:tcPr>
          <w:p w14:paraId="39712B7E"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5A74D124"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64AB65DD" w14:textId="77777777" w:rsidR="00133147" w:rsidRPr="00553E03" w:rsidRDefault="00133147" w:rsidP="00C153C2">
            <w:pPr>
              <w:spacing w:before="0" w:after="0" w:line="240" w:lineRule="auto"/>
              <w:ind w:left="252"/>
              <w:rPr>
                <w:rFonts w:eastAsia="Times New Roman" w:cs="Arial"/>
                <w:b w:val="0"/>
                <w:bCs w:val="0"/>
                <w:color w:val="000000"/>
                <w:sz w:val="20"/>
                <w:szCs w:val="20"/>
              </w:rPr>
            </w:pPr>
            <w:r w:rsidRPr="00553E03">
              <w:rPr>
                <w:rFonts w:eastAsia="Times New Roman" w:cs="Arial"/>
                <w:b w:val="0"/>
                <w:bCs w:val="0"/>
                <w:color w:val="000000"/>
                <w:sz w:val="20"/>
                <w:szCs w:val="20"/>
              </w:rPr>
              <w:t>Conduct first site assessments</w:t>
            </w:r>
          </w:p>
        </w:tc>
        <w:tc>
          <w:tcPr>
            <w:tcW w:w="1049" w:type="dxa"/>
            <w:noWrap/>
            <w:vAlign w:val="center"/>
            <w:hideMark/>
          </w:tcPr>
          <w:p w14:paraId="1E6FBE1B" w14:textId="192E0380"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10</w:t>
            </w:r>
          </w:p>
        </w:tc>
        <w:tc>
          <w:tcPr>
            <w:tcW w:w="1010" w:type="dxa"/>
            <w:noWrap/>
            <w:vAlign w:val="center"/>
            <w:hideMark/>
          </w:tcPr>
          <w:p w14:paraId="3FDCDE16"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01/30/23</w:t>
            </w:r>
          </w:p>
        </w:tc>
        <w:tc>
          <w:tcPr>
            <w:tcW w:w="1080" w:type="dxa"/>
            <w:noWrap/>
            <w:vAlign w:val="center"/>
            <w:hideMark/>
          </w:tcPr>
          <w:p w14:paraId="1740C863"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02/10/23</w:t>
            </w:r>
          </w:p>
        </w:tc>
        <w:tc>
          <w:tcPr>
            <w:tcW w:w="2711" w:type="dxa"/>
            <w:vAlign w:val="center"/>
            <w:hideMark/>
          </w:tcPr>
          <w:p w14:paraId="2B544200"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C153C2" w:rsidRPr="00133147" w14:paraId="012262AF"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E88356F" w14:textId="77777777" w:rsidR="00133147" w:rsidRPr="00553E03" w:rsidRDefault="00133147" w:rsidP="00C153C2">
            <w:pPr>
              <w:spacing w:before="0" w:after="0" w:line="240" w:lineRule="auto"/>
              <w:ind w:left="252"/>
              <w:rPr>
                <w:rFonts w:eastAsia="Times New Roman" w:cs="Arial"/>
                <w:b w:val="0"/>
                <w:bCs w:val="0"/>
                <w:color w:val="000000"/>
                <w:sz w:val="20"/>
                <w:szCs w:val="20"/>
              </w:rPr>
            </w:pPr>
            <w:r w:rsidRPr="00553E03">
              <w:rPr>
                <w:rFonts w:eastAsia="Times New Roman" w:cs="Arial"/>
                <w:b w:val="0"/>
                <w:bCs w:val="0"/>
                <w:color w:val="000000"/>
                <w:sz w:val="20"/>
                <w:szCs w:val="20"/>
              </w:rPr>
              <w:t>Execute first customer participation agreements</w:t>
            </w:r>
          </w:p>
        </w:tc>
        <w:tc>
          <w:tcPr>
            <w:tcW w:w="1049" w:type="dxa"/>
            <w:noWrap/>
            <w:vAlign w:val="center"/>
            <w:hideMark/>
          </w:tcPr>
          <w:p w14:paraId="5A76B79E" w14:textId="31D55BD4"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5</w:t>
            </w:r>
          </w:p>
        </w:tc>
        <w:tc>
          <w:tcPr>
            <w:tcW w:w="1010" w:type="dxa"/>
            <w:noWrap/>
            <w:vAlign w:val="center"/>
            <w:hideMark/>
          </w:tcPr>
          <w:p w14:paraId="176F0F81"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02/13/23</w:t>
            </w:r>
          </w:p>
        </w:tc>
        <w:tc>
          <w:tcPr>
            <w:tcW w:w="1080" w:type="dxa"/>
            <w:noWrap/>
            <w:vAlign w:val="center"/>
            <w:hideMark/>
          </w:tcPr>
          <w:p w14:paraId="1AB278F2"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02/17/23</w:t>
            </w:r>
          </w:p>
        </w:tc>
        <w:tc>
          <w:tcPr>
            <w:tcW w:w="2711" w:type="dxa"/>
            <w:vAlign w:val="center"/>
            <w:hideMark/>
          </w:tcPr>
          <w:p w14:paraId="4BD68E6A"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69401BB2"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F3095D0" w14:textId="77777777" w:rsidR="00133147" w:rsidRPr="00553E03" w:rsidRDefault="00133147" w:rsidP="00C153C2">
            <w:pPr>
              <w:spacing w:before="0" w:after="0" w:line="240" w:lineRule="auto"/>
              <w:ind w:left="252"/>
              <w:rPr>
                <w:rFonts w:eastAsia="Times New Roman" w:cs="Arial"/>
                <w:b w:val="0"/>
                <w:bCs w:val="0"/>
                <w:color w:val="000000"/>
                <w:sz w:val="20"/>
                <w:szCs w:val="20"/>
              </w:rPr>
            </w:pPr>
            <w:r w:rsidRPr="00553E03">
              <w:rPr>
                <w:rFonts w:eastAsia="Times New Roman" w:cs="Arial"/>
                <w:b w:val="0"/>
                <w:bCs w:val="0"/>
                <w:color w:val="000000"/>
                <w:sz w:val="20"/>
                <w:szCs w:val="20"/>
              </w:rPr>
              <w:t>Conduct first project installations</w:t>
            </w:r>
          </w:p>
        </w:tc>
        <w:tc>
          <w:tcPr>
            <w:tcW w:w="1049" w:type="dxa"/>
            <w:noWrap/>
            <w:vAlign w:val="center"/>
            <w:hideMark/>
          </w:tcPr>
          <w:p w14:paraId="25F015EC" w14:textId="21E51F9E"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5</w:t>
            </w:r>
          </w:p>
        </w:tc>
        <w:tc>
          <w:tcPr>
            <w:tcW w:w="1010" w:type="dxa"/>
            <w:noWrap/>
            <w:vAlign w:val="center"/>
            <w:hideMark/>
          </w:tcPr>
          <w:p w14:paraId="0685B70C"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02/20/23</w:t>
            </w:r>
          </w:p>
        </w:tc>
        <w:tc>
          <w:tcPr>
            <w:tcW w:w="1080" w:type="dxa"/>
            <w:noWrap/>
            <w:vAlign w:val="center"/>
            <w:hideMark/>
          </w:tcPr>
          <w:p w14:paraId="52CBFAF2"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02/24/23</w:t>
            </w:r>
          </w:p>
        </w:tc>
        <w:tc>
          <w:tcPr>
            <w:tcW w:w="2711" w:type="dxa"/>
            <w:vAlign w:val="center"/>
            <w:hideMark/>
          </w:tcPr>
          <w:p w14:paraId="76670538"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C153C2" w:rsidRPr="00133147" w14:paraId="2071FD56"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5B735A4C" w14:textId="43A86CC8" w:rsidR="00133147" w:rsidRPr="00553E03" w:rsidRDefault="14BC549F" w:rsidP="00C153C2">
            <w:pPr>
              <w:spacing w:before="0" w:after="0" w:line="240" w:lineRule="auto"/>
              <w:ind w:left="252"/>
              <w:rPr>
                <w:rFonts w:eastAsia="Times New Roman" w:cs="Arial"/>
                <w:b w:val="0"/>
                <w:bCs w:val="0"/>
                <w:color w:val="000000"/>
                <w:sz w:val="20"/>
                <w:szCs w:val="20"/>
              </w:rPr>
            </w:pPr>
            <w:r w:rsidRPr="727BFE15">
              <w:rPr>
                <w:rFonts w:eastAsia="Times New Roman" w:cs="Arial"/>
                <w:b w:val="0"/>
                <w:bCs w:val="0"/>
                <w:color w:val="000000"/>
                <w:sz w:val="20"/>
                <w:szCs w:val="20"/>
              </w:rPr>
              <w:t xml:space="preserve">Initiate </w:t>
            </w:r>
            <w:r w:rsidR="4DEC674C" w:rsidRPr="727BFE15">
              <w:rPr>
                <w:rFonts w:eastAsia="Times New Roman" w:cs="Arial"/>
                <w:b w:val="0"/>
                <w:bCs w:val="0"/>
                <w:color w:val="000000"/>
                <w:sz w:val="20"/>
                <w:szCs w:val="20"/>
              </w:rPr>
              <w:t xml:space="preserve">quality assurance / quality control </w:t>
            </w:r>
          </w:p>
        </w:tc>
        <w:tc>
          <w:tcPr>
            <w:tcW w:w="1049" w:type="dxa"/>
            <w:noWrap/>
            <w:vAlign w:val="center"/>
            <w:hideMark/>
          </w:tcPr>
          <w:p w14:paraId="735BFF41" w14:textId="36553A24"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5</w:t>
            </w:r>
          </w:p>
        </w:tc>
        <w:tc>
          <w:tcPr>
            <w:tcW w:w="1010" w:type="dxa"/>
            <w:noWrap/>
            <w:vAlign w:val="center"/>
            <w:hideMark/>
          </w:tcPr>
          <w:p w14:paraId="2B5C652A"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02/27/23</w:t>
            </w:r>
          </w:p>
        </w:tc>
        <w:tc>
          <w:tcPr>
            <w:tcW w:w="1080" w:type="dxa"/>
            <w:noWrap/>
            <w:vAlign w:val="center"/>
            <w:hideMark/>
          </w:tcPr>
          <w:p w14:paraId="12A1BC2D"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03/03/23</w:t>
            </w:r>
          </w:p>
        </w:tc>
        <w:tc>
          <w:tcPr>
            <w:tcW w:w="2711" w:type="dxa"/>
            <w:vAlign w:val="center"/>
            <w:hideMark/>
          </w:tcPr>
          <w:p w14:paraId="61BCBB80"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3A9CCBF8"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50108BEE" w14:textId="77777777" w:rsidR="00133147" w:rsidRPr="00553E03" w:rsidRDefault="00133147" w:rsidP="00C153C2">
            <w:pPr>
              <w:spacing w:before="0" w:after="0" w:line="240" w:lineRule="auto"/>
              <w:ind w:left="252"/>
              <w:rPr>
                <w:rFonts w:eastAsia="Times New Roman" w:cs="Arial"/>
                <w:b w:val="0"/>
                <w:bCs w:val="0"/>
                <w:color w:val="000000"/>
                <w:sz w:val="20"/>
                <w:szCs w:val="20"/>
              </w:rPr>
            </w:pPr>
            <w:r w:rsidRPr="00553E03">
              <w:rPr>
                <w:rFonts w:eastAsia="Times New Roman" w:cs="Arial"/>
                <w:b w:val="0"/>
                <w:bCs w:val="0"/>
                <w:color w:val="000000"/>
                <w:sz w:val="20"/>
                <w:szCs w:val="20"/>
              </w:rPr>
              <w:t>Collect first month's cost recovery charge</w:t>
            </w:r>
          </w:p>
        </w:tc>
        <w:tc>
          <w:tcPr>
            <w:tcW w:w="1049" w:type="dxa"/>
            <w:noWrap/>
            <w:vAlign w:val="center"/>
            <w:hideMark/>
          </w:tcPr>
          <w:p w14:paraId="25D51270" w14:textId="52CD6A38"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20</w:t>
            </w:r>
          </w:p>
        </w:tc>
        <w:tc>
          <w:tcPr>
            <w:tcW w:w="1010" w:type="dxa"/>
            <w:noWrap/>
            <w:vAlign w:val="center"/>
            <w:hideMark/>
          </w:tcPr>
          <w:p w14:paraId="7A311884"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04/03/23</w:t>
            </w:r>
          </w:p>
        </w:tc>
        <w:tc>
          <w:tcPr>
            <w:tcW w:w="1080" w:type="dxa"/>
            <w:noWrap/>
            <w:vAlign w:val="center"/>
            <w:hideMark/>
          </w:tcPr>
          <w:p w14:paraId="48868B3F"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04/28/23</w:t>
            </w:r>
          </w:p>
        </w:tc>
        <w:tc>
          <w:tcPr>
            <w:tcW w:w="2711" w:type="dxa"/>
            <w:vAlign w:val="center"/>
            <w:hideMark/>
          </w:tcPr>
          <w:p w14:paraId="6C98BD23"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r w:rsidR="00C153C2" w:rsidRPr="00133147" w14:paraId="5E3C2A78" w14:textId="77777777" w:rsidTr="727BFE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2C49C46F" w14:textId="0780CFD1" w:rsidR="00133147" w:rsidRPr="00553E03" w:rsidRDefault="14BC549F" w:rsidP="00C153C2">
            <w:pPr>
              <w:spacing w:before="0" w:after="0" w:line="240" w:lineRule="auto"/>
              <w:ind w:left="252"/>
              <w:rPr>
                <w:rFonts w:eastAsia="Times New Roman" w:cs="Arial"/>
                <w:b w:val="0"/>
                <w:bCs w:val="0"/>
                <w:color w:val="000000"/>
                <w:sz w:val="20"/>
                <w:szCs w:val="20"/>
              </w:rPr>
            </w:pPr>
            <w:r w:rsidRPr="727BFE15">
              <w:rPr>
                <w:rFonts w:eastAsia="Times New Roman" w:cs="Arial"/>
                <w:b w:val="0"/>
                <w:bCs w:val="0"/>
                <w:color w:val="000000"/>
                <w:sz w:val="20"/>
                <w:szCs w:val="20"/>
              </w:rPr>
              <w:t xml:space="preserve">Ongoing project assessments, </w:t>
            </w:r>
            <w:r w:rsidR="4DEC674C" w:rsidRPr="727BFE15">
              <w:rPr>
                <w:rFonts w:eastAsia="Times New Roman" w:cs="Arial"/>
                <w:b w:val="0"/>
                <w:bCs w:val="0"/>
                <w:color w:val="000000"/>
                <w:sz w:val="20"/>
                <w:szCs w:val="20"/>
              </w:rPr>
              <w:t>installation, quality assurance / quality control</w:t>
            </w:r>
          </w:p>
        </w:tc>
        <w:tc>
          <w:tcPr>
            <w:tcW w:w="1049" w:type="dxa"/>
            <w:noWrap/>
            <w:vAlign w:val="center"/>
            <w:hideMark/>
          </w:tcPr>
          <w:p w14:paraId="250199E9" w14:textId="212A3EE0" w:rsidR="00133147" w:rsidRPr="00133147" w:rsidRDefault="14BC549F"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482</w:t>
            </w:r>
          </w:p>
        </w:tc>
        <w:tc>
          <w:tcPr>
            <w:tcW w:w="1010" w:type="dxa"/>
            <w:noWrap/>
            <w:vAlign w:val="center"/>
            <w:hideMark/>
          </w:tcPr>
          <w:p w14:paraId="497A5357"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02/27/23</w:t>
            </w:r>
          </w:p>
        </w:tc>
        <w:tc>
          <w:tcPr>
            <w:tcW w:w="1080" w:type="dxa"/>
            <w:noWrap/>
            <w:vAlign w:val="center"/>
            <w:hideMark/>
          </w:tcPr>
          <w:p w14:paraId="74DC0652" w14:textId="77777777" w:rsidR="00133147" w:rsidRPr="00133147" w:rsidRDefault="00133147" w:rsidP="00C153C2">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12/31/24</w:t>
            </w:r>
          </w:p>
        </w:tc>
        <w:tc>
          <w:tcPr>
            <w:tcW w:w="2711" w:type="dxa"/>
            <w:vAlign w:val="center"/>
            <w:hideMark/>
          </w:tcPr>
          <w:p w14:paraId="37EB7033" w14:textId="77777777" w:rsidR="00133147" w:rsidRPr="00133147" w:rsidRDefault="00133147" w:rsidP="00C153C2">
            <w:pPr>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rPr>
            </w:pPr>
          </w:p>
        </w:tc>
      </w:tr>
      <w:tr w:rsidR="00C153C2" w:rsidRPr="00133147" w14:paraId="43FEE765" w14:textId="77777777" w:rsidTr="727BFE15">
        <w:trPr>
          <w:trHeight w:val="288"/>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536248C" w14:textId="77777777" w:rsidR="00133147" w:rsidRPr="00553E03" w:rsidRDefault="00133147" w:rsidP="00C153C2">
            <w:pPr>
              <w:spacing w:before="0" w:after="0" w:line="240" w:lineRule="auto"/>
              <w:ind w:left="252"/>
              <w:rPr>
                <w:rFonts w:eastAsia="Times New Roman" w:cs="Arial"/>
                <w:b w:val="0"/>
                <w:bCs w:val="0"/>
                <w:color w:val="000000"/>
                <w:sz w:val="20"/>
                <w:szCs w:val="20"/>
              </w:rPr>
            </w:pPr>
            <w:r w:rsidRPr="00553E03">
              <w:rPr>
                <w:rFonts w:eastAsia="Times New Roman" w:cs="Arial"/>
                <w:b w:val="0"/>
                <w:bCs w:val="0"/>
                <w:color w:val="000000"/>
                <w:sz w:val="20"/>
                <w:szCs w:val="20"/>
              </w:rPr>
              <w:t>Program measurement and verification</w:t>
            </w:r>
          </w:p>
        </w:tc>
        <w:tc>
          <w:tcPr>
            <w:tcW w:w="1049" w:type="dxa"/>
            <w:noWrap/>
            <w:vAlign w:val="center"/>
            <w:hideMark/>
          </w:tcPr>
          <w:p w14:paraId="4924D85D" w14:textId="6667BEBD" w:rsidR="00133147" w:rsidRPr="00133147" w:rsidRDefault="14BC549F"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727BFE15">
              <w:rPr>
                <w:rFonts w:eastAsia="Times New Roman" w:cs="Arial"/>
                <w:color w:val="000000"/>
                <w:sz w:val="20"/>
                <w:szCs w:val="20"/>
              </w:rPr>
              <w:t>698</w:t>
            </w:r>
          </w:p>
        </w:tc>
        <w:tc>
          <w:tcPr>
            <w:tcW w:w="1010" w:type="dxa"/>
            <w:noWrap/>
            <w:vAlign w:val="center"/>
            <w:hideMark/>
          </w:tcPr>
          <w:p w14:paraId="258D48E5"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05/01/23</w:t>
            </w:r>
          </w:p>
        </w:tc>
        <w:tc>
          <w:tcPr>
            <w:tcW w:w="1080" w:type="dxa"/>
            <w:noWrap/>
            <w:vAlign w:val="center"/>
            <w:hideMark/>
          </w:tcPr>
          <w:p w14:paraId="38323C41" w14:textId="77777777" w:rsidR="00133147" w:rsidRPr="00133147" w:rsidRDefault="00133147" w:rsidP="00C153C2">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133147">
              <w:rPr>
                <w:rFonts w:eastAsia="Times New Roman" w:cs="Arial"/>
                <w:color w:val="000000"/>
                <w:sz w:val="20"/>
                <w:szCs w:val="20"/>
              </w:rPr>
              <w:t>12/31/25</w:t>
            </w:r>
          </w:p>
        </w:tc>
        <w:tc>
          <w:tcPr>
            <w:tcW w:w="2711" w:type="dxa"/>
            <w:vAlign w:val="center"/>
            <w:hideMark/>
          </w:tcPr>
          <w:p w14:paraId="7A3E52E4" w14:textId="77777777" w:rsidR="00133147" w:rsidRPr="00133147" w:rsidRDefault="00133147" w:rsidP="00C153C2">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p>
        </w:tc>
      </w:tr>
    </w:tbl>
    <w:p w14:paraId="496EC8DB" w14:textId="77777777" w:rsidR="00BB5EF5" w:rsidRDefault="00BB5EF5" w:rsidP="00BB5EF5"/>
    <w:p w14:paraId="4CB93EBE" w14:textId="77777777" w:rsidR="00022AB9" w:rsidRDefault="00022AB9" w:rsidP="00022AB9"/>
    <w:p w14:paraId="79A8CBBF" w14:textId="0CF645B8" w:rsidR="00022AB9" w:rsidRDefault="00022AB9" w:rsidP="00EF7D00">
      <w:pPr>
        <w:pStyle w:val="Heading1"/>
      </w:pPr>
      <w:bookmarkStart w:id="45" w:name="_Toc98921615"/>
      <w:r>
        <w:t xml:space="preserve">PART V: Reporting and </w:t>
      </w:r>
      <w:r w:rsidR="00EF7D00">
        <w:t>M</w:t>
      </w:r>
      <w:r>
        <w:t>etrics</w:t>
      </w:r>
      <w:bookmarkEnd w:id="45"/>
    </w:p>
    <w:p w14:paraId="74EF7337" w14:textId="77777777" w:rsidR="00373019" w:rsidRDefault="00373019" w:rsidP="00373019">
      <w:pPr>
        <w:pStyle w:val="Heading2"/>
      </w:pPr>
      <w:bookmarkStart w:id="46" w:name="_Toc98921616"/>
      <w:r>
        <w:t>Metrics and Key Performance Indicators</w:t>
      </w:r>
      <w:bookmarkEnd w:id="46"/>
    </w:p>
    <w:p w14:paraId="342D6DA5" w14:textId="77777777" w:rsidR="00D40B85" w:rsidRPr="007B6D20" w:rsidRDefault="7EC7BFC3" w:rsidP="727BFE15">
      <w:pPr>
        <w:rPr>
          <w:i/>
          <w:iCs/>
        </w:rPr>
      </w:pPr>
      <w:r w:rsidRPr="727BFE15">
        <w:rPr>
          <w:i/>
          <w:iCs/>
        </w:rPr>
        <w:t>From the CPUC:</w:t>
      </w:r>
    </w:p>
    <w:p w14:paraId="763E66B9" w14:textId="2C530FF1" w:rsidR="00D40B85" w:rsidRPr="007B6D20" w:rsidRDefault="7EC7BFC3" w:rsidP="727BFE15">
      <w:pPr>
        <w:rPr>
          <w:i/>
          <w:iCs/>
        </w:rPr>
      </w:pPr>
      <w:r w:rsidRPr="727BFE15">
        <w:rPr>
          <w:i/>
          <w:iCs/>
        </w:rPr>
        <w:t>Describe the key performance indicators (KPI</w:t>
      </w:r>
      <w:r w:rsidR="67964E3E" w:rsidRPr="727BFE15">
        <w:rPr>
          <w:i/>
          <w:iCs/>
        </w:rPr>
        <w:t>s</w:t>
      </w:r>
      <w:r w:rsidRPr="727BFE15">
        <w:rPr>
          <w:i/>
          <w:iCs/>
        </w:rPr>
        <w:t>) that will be developed for the program in order to determine:</w:t>
      </w:r>
    </w:p>
    <w:p w14:paraId="52F7CF20" w14:textId="32492B94" w:rsidR="00D40B85" w:rsidRPr="007B6D20" w:rsidRDefault="6051AAEC" w:rsidP="727BFE15">
      <w:pPr>
        <w:pStyle w:val="ListParagraph"/>
        <w:numPr>
          <w:ilvl w:val="0"/>
          <w:numId w:val="59"/>
        </w:numPr>
        <w:rPr>
          <w:i/>
          <w:iCs/>
        </w:rPr>
      </w:pPr>
      <w:r w:rsidRPr="727BFE15">
        <w:rPr>
          <w:i/>
          <w:iCs/>
        </w:rPr>
        <w:t>W</w:t>
      </w:r>
      <w:r w:rsidR="7EC7BFC3" w:rsidRPr="727BFE15">
        <w:rPr>
          <w:i/>
          <w:iCs/>
        </w:rPr>
        <w:t>hether the program is successful in delivering benefits and addressing specific market barriers.</w:t>
      </w:r>
    </w:p>
    <w:p w14:paraId="07D1EBA6" w14:textId="77777777" w:rsidR="00D40B85" w:rsidRPr="007B6D20" w:rsidRDefault="7EC7BFC3" w:rsidP="727BFE15">
      <w:pPr>
        <w:pStyle w:val="ListParagraph"/>
        <w:numPr>
          <w:ilvl w:val="0"/>
          <w:numId w:val="59"/>
        </w:numPr>
        <w:rPr>
          <w:i/>
          <w:iCs/>
        </w:rPr>
      </w:pPr>
      <w:r w:rsidRPr="727BFE15">
        <w:rPr>
          <w:i/>
          <w:iCs/>
        </w:rPr>
        <w:t>Whether the program aligns with local and regional clean energy goals.</w:t>
      </w:r>
    </w:p>
    <w:p w14:paraId="1B49FDCC" w14:textId="3FF95C6B" w:rsidR="00D40B85" w:rsidRPr="007B6D20" w:rsidRDefault="6051AAEC" w:rsidP="727BFE15">
      <w:pPr>
        <w:pStyle w:val="ListParagraph"/>
        <w:numPr>
          <w:ilvl w:val="0"/>
          <w:numId w:val="59"/>
        </w:numPr>
        <w:spacing w:after="0"/>
        <w:rPr>
          <w:i/>
          <w:iCs/>
        </w:rPr>
      </w:pPr>
      <w:r w:rsidRPr="727BFE15">
        <w:rPr>
          <w:i/>
          <w:iCs/>
        </w:rPr>
        <w:t>W</w:t>
      </w:r>
      <w:r w:rsidR="7EC7BFC3" w:rsidRPr="727BFE15">
        <w:rPr>
          <w:i/>
          <w:iCs/>
        </w:rPr>
        <w:t>hether</w:t>
      </w:r>
      <w:r w:rsidRPr="727BFE15">
        <w:rPr>
          <w:i/>
          <w:iCs/>
        </w:rPr>
        <w:t xml:space="preserve"> </w:t>
      </w:r>
      <w:r w:rsidR="7EC7BFC3" w:rsidRPr="727BFE15">
        <w:rPr>
          <w:i/>
          <w:iCs/>
        </w:rPr>
        <w:t>/</w:t>
      </w:r>
      <w:r w:rsidRPr="727BFE15">
        <w:rPr>
          <w:i/>
          <w:iCs/>
        </w:rPr>
        <w:t xml:space="preserve"> </w:t>
      </w:r>
      <w:r w:rsidR="7EC7BFC3" w:rsidRPr="727BFE15">
        <w:rPr>
          <w:i/>
          <w:iCs/>
        </w:rPr>
        <w:t>when the program needs to be reconfigured or closed.</w:t>
      </w:r>
    </w:p>
    <w:p w14:paraId="009A4152" w14:textId="258E634D" w:rsidR="00D40B85" w:rsidRPr="004F203A" w:rsidRDefault="6051AAEC" w:rsidP="00A17426">
      <w:pPr>
        <w:pStyle w:val="CommentText"/>
      </w:pPr>
      <w:r>
        <w:t>A</w:t>
      </w:r>
      <w:r w:rsidR="7EC7BFC3">
        <w:t>ny</w:t>
      </w:r>
      <w:r>
        <w:t xml:space="preserve"> </w:t>
      </w:r>
      <w:r w:rsidR="7EC7BFC3">
        <w:t>other KPI.</w:t>
      </w:r>
    </w:p>
    <w:p w14:paraId="5FE1FA24" w14:textId="77777777" w:rsidR="004F203A" w:rsidRDefault="004F203A" w:rsidP="00373538"/>
    <w:p w14:paraId="2D8F23A3" w14:textId="02E9D6CC" w:rsidR="00373538" w:rsidRDefault="20735CBD" w:rsidP="00373538">
      <w:pPr>
        <w:rPr>
          <w:rFonts w:eastAsia="Lato"/>
          <w:szCs w:val="22"/>
        </w:rPr>
      </w:pPr>
      <w:r>
        <w:t>Development of Program</w:t>
      </w:r>
      <w:r w:rsidR="247B3D3E">
        <w:t xml:space="preserve"> metrics </w:t>
      </w:r>
      <w:r>
        <w:t xml:space="preserve">is informed by </w:t>
      </w:r>
      <w:r w:rsidR="5832C993" w:rsidRPr="3F0F75C9">
        <w:t xml:space="preserve">the statutory metrics the Commission has endorsed in its adopted Decision for </w:t>
      </w:r>
      <w:r w:rsidR="19D9C376">
        <w:t xml:space="preserve">the </w:t>
      </w:r>
      <w:r w:rsidR="5832C993" w:rsidRPr="3F0F75C9">
        <w:t>TECH</w:t>
      </w:r>
      <w:r w:rsidR="19D9C376">
        <w:t xml:space="preserve"> program in proceeding R.19-01-011</w:t>
      </w:r>
      <w:r w:rsidR="5832C993" w:rsidRPr="3F0F75C9">
        <w:t>:</w:t>
      </w:r>
      <w:r w:rsidR="00373538">
        <w:rPr>
          <w:rStyle w:val="FootnoteReference"/>
        </w:rPr>
        <w:footnoteReference w:id="43"/>
      </w:r>
    </w:p>
    <w:p w14:paraId="6756FB48" w14:textId="77777777" w:rsidR="00373538" w:rsidRDefault="00373538" w:rsidP="008A11C0">
      <w:pPr>
        <w:pStyle w:val="ListParagraph"/>
        <w:numPr>
          <w:ilvl w:val="0"/>
          <w:numId w:val="16"/>
        </w:numPr>
        <w:spacing w:line="276" w:lineRule="auto"/>
      </w:pPr>
      <w:r>
        <w:t xml:space="preserve">Cost per metric ton of avoided GHG emissions (using meter-based data whenever appropriate and feasible) </w:t>
      </w:r>
    </w:p>
    <w:p w14:paraId="0EF2D58C" w14:textId="77777777" w:rsidR="00373538" w:rsidRDefault="00373538" w:rsidP="008A11C0">
      <w:pPr>
        <w:pStyle w:val="ListParagraph"/>
        <w:numPr>
          <w:ilvl w:val="0"/>
          <w:numId w:val="16"/>
        </w:numPr>
        <w:spacing w:line="276" w:lineRule="auto"/>
      </w:pPr>
      <w:r>
        <w:t>Projected annual and lifetime utility bill savings (using meter-based data whenever appropriate and feasible)</w:t>
      </w:r>
    </w:p>
    <w:p w14:paraId="14F70DEA" w14:textId="77777777" w:rsidR="00373538" w:rsidRDefault="00373538" w:rsidP="008A11C0">
      <w:pPr>
        <w:pStyle w:val="ListParagraph"/>
        <w:numPr>
          <w:ilvl w:val="0"/>
          <w:numId w:val="16"/>
        </w:numPr>
        <w:spacing w:line="276" w:lineRule="auto"/>
      </w:pPr>
      <w:r>
        <w:t>Market share for eligible technologies</w:t>
      </w:r>
    </w:p>
    <w:p w14:paraId="64DD8A5F" w14:textId="561B6D10" w:rsidR="00373538" w:rsidRDefault="5832C993" w:rsidP="00373538">
      <w:pPr>
        <w:rPr>
          <w:rFonts w:eastAsia="Times New Roman"/>
        </w:rPr>
      </w:pPr>
      <w:r w:rsidRPr="727BFE15">
        <w:rPr>
          <w:rFonts w:eastAsia="Times New Roman"/>
        </w:rPr>
        <w:t xml:space="preserve">Further, the Commission </w:t>
      </w:r>
      <w:r w:rsidR="0E83174A" w:rsidRPr="727BFE15">
        <w:rPr>
          <w:rFonts w:eastAsia="Times New Roman"/>
        </w:rPr>
        <w:t>D</w:t>
      </w:r>
      <w:r w:rsidRPr="727BFE15">
        <w:rPr>
          <w:rFonts w:eastAsia="Times New Roman"/>
        </w:rPr>
        <w:t>ecision directs evaluation of savings and cost-effectiveness “to ensure that customer utility bills do not increase, and that a full range of costs and benefits to the customer (e.g., non-energy impacts and improvements in energy services) is evaluated.”</w:t>
      </w:r>
    </w:p>
    <w:p w14:paraId="5EF74E29" w14:textId="4ADF3D38" w:rsidR="00E22B17" w:rsidRDefault="5832C993" w:rsidP="00373538">
      <w:pPr>
        <w:rPr>
          <w:rFonts w:eastAsia="Times New Roman"/>
        </w:rPr>
      </w:pPr>
      <w:r w:rsidRPr="727BFE15">
        <w:rPr>
          <w:rFonts w:eastAsia="Times New Roman"/>
        </w:rPr>
        <w:t xml:space="preserve">Additionally, the Commission </w:t>
      </w:r>
      <w:r w:rsidR="14DC4821" w:rsidRPr="727BFE15">
        <w:rPr>
          <w:rFonts w:eastAsia="Times New Roman"/>
        </w:rPr>
        <w:t>D</w:t>
      </w:r>
      <w:r w:rsidRPr="727BFE15">
        <w:rPr>
          <w:rFonts w:eastAsia="Times New Roman"/>
        </w:rPr>
        <w:t xml:space="preserve">ecision directs staff and the program evaluator to consider possible additional metrics </w:t>
      </w:r>
      <w:r w:rsidR="14DC4821" w:rsidRPr="727BFE15">
        <w:rPr>
          <w:rFonts w:eastAsia="Times New Roman"/>
        </w:rPr>
        <w:t>such as:</w:t>
      </w:r>
      <w:r w:rsidRPr="727BFE15">
        <w:rPr>
          <w:rFonts w:eastAsia="Times New Roman"/>
        </w:rPr>
        <w:t xml:space="preserve"> </w:t>
      </w:r>
    </w:p>
    <w:p w14:paraId="15180200" w14:textId="63A6DDE4" w:rsidR="00E22B17" w:rsidRDefault="14DC4821" w:rsidP="00E22B17">
      <w:pPr>
        <w:pStyle w:val="ListParagraph"/>
        <w:numPr>
          <w:ilvl w:val="0"/>
          <w:numId w:val="55"/>
        </w:numPr>
        <w:rPr>
          <w:rFonts w:eastAsia="Times New Roman"/>
        </w:rPr>
      </w:pPr>
      <w:r w:rsidRPr="727BFE15">
        <w:rPr>
          <w:rFonts w:eastAsia="Times New Roman"/>
        </w:rPr>
        <w:t>M</w:t>
      </w:r>
      <w:r w:rsidR="5832C993" w:rsidRPr="727BFE15">
        <w:rPr>
          <w:rFonts w:eastAsia="Times New Roman"/>
        </w:rPr>
        <w:t xml:space="preserve">arket share data (i.e., demographic factors) for technology adoption </w:t>
      </w:r>
    </w:p>
    <w:p w14:paraId="170C93AC" w14:textId="7CC14A25" w:rsidR="00E22B17" w:rsidRDefault="14DC4821" w:rsidP="00E22B17">
      <w:pPr>
        <w:pStyle w:val="ListParagraph"/>
        <w:numPr>
          <w:ilvl w:val="0"/>
          <w:numId w:val="55"/>
        </w:numPr>
        <w:rPr>
          <w:rFonts w:eastAsia="Times New Roman"/>
        </w:rPr>
      </w:pPr>
      <w:r w:rsidRPr="727BFE15">
        <w:rPr>
          <w:rFonts w:eastAsia="Times New Roman"/>
        </w:rPr>
        <w:t>C</w:t>
      </w:r>
      <w:r w:rsidR="5832C993" w:rsidRPr="727BFE15">
        <w:rPr>
          <w:rFonts w:eastAsia="Times New Roman"/>
        </w:rPr>
        <w:t xml:space="preserve">ustomer outreach and </w:t>
      </w:r>
      <w:r w:rsidRPr="727BFE15">
        <w:rPr>
          <w:rFonts w:eastAsia="Times New Roman"/>
        </w:rPr>
        <w:t>C</w:t>
      </w:r>
      <w:r w:rsidR="5832C993" w:rsidRPr="727BFE15">
        <w:rPr>
          <w:rFonts w:eastAsia="Times New Roman"/>
        </w:rPr>
        <w:t xml:space="preserve">ustomer satisfaction, benchmarked relative to customer awareness and satisfaction of </w:t>
      </w:r>
      <w:r w:rsidRPr="727BFE15">
        <w:rPr>
          <w:rFonts w:eastAsia="Times New Roman"/>
        </w:rPr>
        <w:t>C</w:t>
      </w:r>
      <w:r w:rsidR="5832C993" w:rsidRPr="727BFE15">
        <w:rPr>
          <w:rFonts w:eastAsia="Times New Roman"/>
        </w:rPr>
        <w:t xml:space="preserve">ustomer incentive and direct install programs </w:t>
      </w:r>
    </w:p>
    <w:p w14:paraId="2212397A" w14:textId="2AD33B27" w:rsidR="00373538" w:rsidRPr="00FF62ED" w:rsidRDefault="14DC4821" w:rsidP="00FF62ED">
      <w:pPr>
        <w:pStyle w:val="ListParagraph"/>
        <w:numPr>
          <w:ilvl w:val="0"/>
          <w:numId w:val="55"/>
        </w:numPr>
        <w:rPr>
          <w:rFonts w:eastAsia="Times New Roman"/>
        </w:rPr>
      </w:pPr>
      <w:r w:rsidRPr="727BFE15">
        <w:rPr>
          <w:rFonts w:eastAsia="Times New Roman"/>
        </w:rPr>
        <w:t>C</w:t>
      </w:r>
      <w:r w:rsidR="5832C993" w:rsidRPr="727BFE15">
        <w:rPr>
          <w:rFonts w:eastAsia="Times New Roman"/>
        </w:rPr>
        <w:t>ontractor performance</w:t>
      </w:r>
      <w:r w:rsidR="5832C993" w:rsidRPr="727BFE15">
        <w:rPr>
          <w:rFonts w:eastAsia="Times New Roman"/>
          <w:b/>
          <w:bCs/>
        </w:rPr>
        <w:t>,</w:t>
      </w:r>
      <w:r w:rsidR="5832C993" w:rsidRPr="727BFE15">
        <w:rPr>
          <w:rFonts w:eastAsia="Times New Roman"/>
        </w:rPr>
        <w:t xml:space="preserve"> as measured by </w:t>
      </w:r>
      <w:r w:rsidRPr="727BFE15">
        <w:rPr>
          <w:rFonts w:eastAsia="Times New Roman"/>
        </w:rPr>
        <w:t>P</w:t>
      </w:r>
      <w:r w:rsidR="5832C993" w:rsidRPr="727BFE15">
        <w:rPr>
          <w:rFonts w:eastAsia="Times New Roman"/>
        </w:rPr>
        <w:t>rogram quality control outcomes</w:t>
      </w:r>
    </w:p>
    <w:p w14:paraId="6236FDF0" w14:textId="7760B155" w:rsidR="003579E0" w:rsidRDefault="1643BFCA" w:rsidP="00373538">
      <w:pPr>
        <w:rPr>
          <w:rFonts w:eastAsia="Times New Roman"/>
        </w:rPr>
      </w:pPr>
      <w:r w:rsidRPr="727BFE15">
        <w:rPr>
          <w:rFonts w:eastAsia="Times New Roman"/>
        </w:rPr>
        <w:t xml:space="preserve">The Program will incorporate </w:t>
      </w:r>
      <w:r w:rsidR="67964E3E" w:rsidRPr="727BFE15">
        <w:rPr>
          <w:rFonts w:eastAsia="Times New Roman"/>
        </w:rPr>
        <w:t>this g</w:t>
      </w:r>
      <w:r w:rsidRPr="727BFE15">
        <w:rPr>
          <w:rFonts w:eastAsia="Times New Roman"/>
        </w:rPr>
        <w:t>uidance into its routine tracking and reporting,</w:t>
      </w:r>
      <w:r w:rsidR="75FA372D" w:rsidRPr="727BFE15">
        <w:rPr>
          <w:rFonts w:eastAsia="Times New Roman"/>
        </w:rPr>
        <w:t xml:space="preserve"> process evaluation, and </w:t>
      </w:r>
      <w:r w:rsidR="67964E3E" w:rsidRPr="727BFE15">
        <w:rPr>
          <w:rFonts w:eastAsia="Times New Roman"/>
        </w:rPr>
        <w:t>M&amp;V</w:t>
      </w:r>
      <w:r w:rsidR="75FA372D" w:rsidRPr="727BFE15">
        <w:rPr>
          <w:rFonts w:eastAsia="Times New Roman"/>
        </w:rPr>
        <w:t xml:space="preserve"> plans. In addition, these plans will incorporate procedures for tracking the equity indicators identified in Goal 9 of the Environmental and Social Justice Action Plan</w:t>
      </w:r>
      <w:r w:rsidR="24008725" w:rsidRPr="727BFE15">
        <w:rPr>
          <w:rFonts w:eastAsia="Times New Roman"/>
        </w:rPr>
        <w:t>; specifically:</w:t>
      </w:r>
    </w:p>
    <w:p w14:paraId="363B5C6C" w14:textId="5653A073" w:rsidR="004E1DBE" w:rsidRDefault="004E1DBE" w:rsidP="006907F8">
      <w:pPr>
        <w:pStyle w:val="ListParagraph"/>
        <w:numPr>
          <w:ilvl w:val="0"/>
          <w:numId w:val="37"/>
        </w:numPr>
      </w:pPr>
      <w:r w:rsidRPr="001102C2">
        <w:t xml:space="preserve">Total </w:t>
      </w:r>
      <w:r>
        <w:t>number of</w:t>
      </w:r>
      <w:r w:rsidRPr="001102C2">
        <w:t xml:space="preserve"> residential equity-targeted households served</w:t>
      </w:r>
    </w:p>
    <w:p w14:paraId="4F622C9C" w14:textId="77777777" w:rsidR="004E1DBE" w:rsidRDefault="004E1DBE" w:rsidP="006907F8">
      <w:pPr>
        <w:pStyle w:val="ListParagraph"/>
        <w:numPr>
          <w:ilvl w:val="0"/>
          <w:numId w:val="37"/>
        </w:numPr>
      </w:pPr>
      <w:r w:rsidRPr="00400E05">
        <w:t xml:space="preserve">Expected first-year </w:t>
      </w:r>
      <w:r>
        <w:t xml:space="preserve">energy, GHG, and utility </w:t>
      </w:r>
      <w:r w:rsidRPr="00400E05">
        <w:t xml:space="preserve">bill savings </w:t>
      </w:r>
      <w:r>
        <w:t>for e</w:t>
      </w:r>
      <w:r w:rsidRPr="00400E05">
        <w:t>quity-targeted participants</w:t>
      </w:r>
    </w:p>
    <w:p w14:paraId="045630AC" w14:textId="1BBD9144" w:rsidR="004E1DBE" w:rsidRDefault="35D53147" w:rsidP="006907F8">
      <w:pPr>
        <w:pStyle w:val="ListParagraph"/>
        <w:numPr>
          <w:ilvl w:val="0"/>
          <w:numId w:val="37"/>
        </w:numPr>
      </w:pPr>
      <w:r>
        <w:t>Number of residential equity-targeted households receiving upgrades that are expected to improve home comfort, safety, and health outcomes</w:t>
      </w:r>
    </w:p>
    <w:p w14:paraId="7995DB59" w14:textId="77777777" w:rsidR="004E1DBE" w:rsidRDefault="004E1DBE" w:rsidP="006907F8">
      <w:pPr>
        <w:pStyle w:val="ListParagraph"/>
        <w:numPr>
          <w:ilvl w:val="0"/>
          <w:numId w:val="37"/>
        </w:numPr>
      </w:pPr>
      <w:r>
        <w:t>Health and safety issues abated for equity-targeted households</w:t>
      </w:r>
    </w:p>
    <w:p w14:paraId="050CCD43" w14:textId="5677253E" w:rsidR="004E1DBE" w:rsidRDefault="35D53147" w:rsidP="006907F8">
      <w:pPr>
        <w:pStyle w:val="ListParagraph"/>
        <w:numPr>
          <w:ilvl w:val="0"/>
          <w:numId w:val="37"/>
        </w:numPr>
      </w:pPr>
      <w:r>
        <w:t>Number of residential equity-targeted households that could not be served due to the need for additional home repairs</w:t>
      </w:r>
    </w:p>
    <w:p w14:paraId="69842378" w14:textId="6E8F6AD2" w:rsidR="004E1DBE" w:rsidRDefault="004E1DBE" w:rsidP="006907F8">
      <w:pPr>
        <w:pStyle w:val="ListParagraph"/>
        <w:numPr>
          <w:ilvl w:val="0"/>
          <w:numId w:val="37"/>
        </w:numPr>
      </w:pPr>
      <w:r>
        <w:t>Customer comprehension of Program offers and satisfaction with Program outcomes</w:t>
      </w:r>
    </w:p>
    <w:p w14:paraId="0F01DC4C" w14:textId="0DAC8852" w:rsidR="002B626E" w:rsidRDefault="002B626E" w:rsidP="006907F8">
      <w:pPr>
        <w:pStyle w:val="ListParagraph"/>
        <w:numPr>
          <w:ilvl w:val="0"/>
          <w:numId w:val="37"/>
        </w:numPr>
      </w:pPr>
      <w:r>
        <w:t>Effectiveness of marketing and outreach campaigns</w:t>
      </w:r>
    </w:p>
    <w:p w14:paraId="5CCE7389" w14:textId="071A748D" w:rsidR="003579E0" w:rsidRPr="00ED4DB6" w:rsidRDefault="0601E457" w:rsidP="00ED4DB6">
      <w:r w:rsidRPr="727BFE15">
        <w:rPr>
          <w:rFonts w:eastAsia="Times New Roman"/>
        </w:rPr>
        <w:t xml:space="preserve">In addition to the metrics described above, the Program adopts </w:t>
      </w:r>
      <w:r w:rsidR="785B15DB">
        <w:t>KPI</w:t>
      </w:r>
      <w:r w:rsidR="67964E3E">
        <w:t>s</w:t>
      </w:r>
      <w:r w:rsidR="785B15DB">
        <w:t xml:space="preserve"> to determine:</w:t>
      </w:r>
    </w:p>
    <w:p w14:paraId="773341C8" w14:textId="0931CCCF" w:rsidR="003579E0" w:rsidRPr="00ED4DB6" w:rsidRDefault="67964E3E" w:rsidP="006907F8">
      <w:pPr>
        <w:pStyle w:val="ListParagraph"/>
        <w:numPr>
          <w:ilvl w:val="0"/>
          <w:numId w:val="38"/>
        </w:numPr>
      </w:pPr>
      <w:r>
        <w:t>W</w:t>
      </w:r>
      <w:r w:rsidR="785B15DB">
        <w:t xml:space="preserve">hether the </w:t>
      </w:r>
      <w:r>
        <w:t>P</w:t>
      </w:r>
      <w:r w:rsidR="785B15DB">
        <w:t>rogram is successful in delivering benefits and addressing specific market barriers</w:t>
      </w:r>
    </w:p>
    <w:p w14:paraId="046F8EE5" w14:textId="28E5D0C0" w:rsidR="003579E0" w:rsidRPr="00ED4DB6" w:rsidRDefault="67964E3E" w:rsidP="006907F8">
      <w:pPr>
        <w:pStyle w:val="ListParagraph"/>
        <w:numPr>
          <w:ilvl w:val="0"/>
          <w:numId w:val="38"/>
        </w:numPr>
      </w:pPr>
      <w:r>
        <w:t>W</w:t>
      </w:r>
      <w:r w:rsidR="785B15DB">
        <w:t xml:space="preserve">hether the </w:t>
      </w:r>
      <w:r>
        <w:t>P</w:t>
      </w:r>
      <w:r w:rsidR="785B15DB">
        <w:t>rogram aligns with local and regional clean energy goals</w:t>
      </w:r>
      <w:r>
        <w:t xml:space="preserve">, </w:t>
      </w:r>
      <w:r w:rsidR="7A925EDD">
        <w:t>or</w:t>
      </w:r>
    </w:p>
    <w:p w14:paraId="46C996C5" w14:textId="3506FCB1" w:rsidR="003579E0" w:rsidRPr="00ED4DB6" w:rsidRDefault="67964E3E" w:rsidP="006907F8">
      <w:pPr>
        <w:pStyle w:val="ListParagraph"/>
        <w:numPr>
          <w:ilvl w:val="0"/>
          <w:numId w:val="38"/>
        </w:numPr>
      </w:pPr>
      <w:r>
        <w:t>W</w:t>
      </w:r>
      <w:r w:rsidR="785B15DB">
        <w:t>hether</w:t>
      </w:r>
      <w:r>
        <w:t xml:space="preserve"> </w:t>
      </w:r>
      <w:r w:rsidR="785B15DB">
        <w:t>/</w:t>
      </w:r>
      <w:r>
        <w:t xml:space="preserve"> </w:t>
      </w:r>
      <w:r w:rsidR="785B15DB">
        <w:t>when the program needs to be reconfigured or closed</w:t>
      </w:r>
    </w:p>
    <w:p w14:paraId="1796B9D3" w14:textId="7D3888C8" w:rsidR="003579E0" w:rsidRDefault="7A925EDD" w:rsidP="00BC0A0F">
      <w:r>
        <w:t>In</w:t>
      </w:r>
      <w:r w:rsidR="401EF85E">
        <w:t xml:space="preserve"> developing these KPIs, the Program first articulated </w:t>
      </w:r>
      <w:r w:rsidR="7A19333C">
        <w:t xml:space="preserve">theory-of-change hypotheses for each </w:t>
      </w:r>
      <w:r w:rsidR="67964E3E">
        <w:t>P</w:t>
      </w:r>
      <w:r w:rsidR="7A19333C">
        <w:t>rogram design criterion. For each</w:t>
      </w:r>
      <w:r w:rsidR="32B9527E">
        <w:t xml:space="preserve"> hypothesis, the Program then</w:t>
      </w:r>
      <w:r w:rsidR="6DF8E738">
        <w:t xml:space="preserve"> described outcomes that would provide empirical evidence supporting the hypothesis. These outcomes will </w:t>
      </w:r>
      <w:r w:rsidR="35DCB467">
        <w:t xml:space="preserve">be </w:t>
      </w:r>
      <w:r w:rsidR="6DF8E738">
        <w:t xml:space="preserve">the Program KPIs and are described in </w:t>
      </w:r>
      <w:r w:rsidR="6DF8E738" w:rsidRPr="727BFE15">
        <w:rPr>
          <w:b/>
          <w:bCs/>
        </w:rPr>
        <w:t xml:space="preserve">Table </w:t>
      </w:r>
      <w:r w:rsidR="784EE474" w:rsidRPr="727BFE15">
        <w:rPr>
          <w:b/>
          <w:bCs/>
        </w:rPr>
        <w:t>1</w:t>
      </w:r>
      <w:r w:rsidR="35DCB467" w:rsidRPr="727BFE15">
        <w:rPr>
          <w:b/>
          <w:bCs/>
        </w:rPr>
        <w:t>7</w:t>
      </w:r>
      <w:r w:rsidR="6DF8E738">
        <w:t>.</w:t>
      </w:r>
    </w:p>
    <w:p w14:paraId="3033C46E" w14:textId="39DCEFC4" w:rsidR="00373538" w:rsidRDefault="5832C993" w:rsidP="00373538">
      <w:pPr>
        <w:rPr>
          <w:b/>
          <w:bCs/>
        </w:rPr>
      </w:pPr>
      <w:r w:rsidRPr="727BFE15">
        <w:rPr>
          <w:b/>
          <w:bCs/>
        </w:rPr>
        <w:t xml:space="preserve">Table </w:t>
      </w:r>
      <w:r w:rsidR="784EE474" w:rsidRPr="727BFE15">
        <w:rPr>
          <w:b/>
          <w:bCs/>
        </w:rPr>
        <w:t>1</w:t>
      </w:r>
      <w:r w:rsidR="35DCB467" w:rsidRPr="727BFE15">
        <w:rPr>
          <w:b/>
          <w:bCs/>
        </w:rPr>
        <w:t>7</w:t>
      </w:r>
      <w:r w:rsidRPr="727BFE15">
        <w:rPr>
          <w:b/>
          <w:bCs/>
        </w:rPr>
        <w:t xml:space="preserve">. </w:t>
      </w:r>
      <w:r w:rsidR="3B1AB301" w:rsidRPr="727BFE15">
        <w:rPr>
          <w:b/>
          <w:bCs/>
        </w:rPr>
        <w:t xml:space="preserve"> Theory</w:t>
      </w:r>
      <w:r w:rsidR="35DCB467" w:rsidRPr="727BFE15">
        <w:rPr>
          <w:b/>
          <w:bCs/>
        </w:rPr>
        <w:t>-</w:t>
      </w:r>
      <w:r w:rsidR="3B1AB301" w:rsidRPr="727BFE15">
        <w:rPr>
          <w:b/>
          <w:bCs/>
        </w:rPr>
        <w:t>of</w:t>
      </w:r>
      <w:r w:rsidR="35DCB467" w:rsidRPr="727BFE15">
        <w:rPr>
          <w:b/>
          <w:bCs/>
        </w:rPr>
        <w:t>-c</w:t>
      </w:r>
      <w:r w:rsidR="3B1AB301" w:rsidRPr="727BFE15">
        <w:rPr>
          <w:b/>
          <w:bCs/>
        </w:rPr>
        <w:t xml:space="preserve">hange </w:t>
      </w:r>
      <w:r w:rsidR="35DCB467" w:rsidRPr="727BFE15">
        <w:rPr>
          <w:b/>
          <w:bCs/>
        </w:rPr>
        <w:t>h</w:t>
      </w:r>
      <w:r w:rsidR="3B1AB301" w:rsidRPr="727BFE15">
        <w:rPr>
          <w:b/>
          <w:bCs/>
        </w:rPr>
        <w:t>ypothe</w:t>
      </w:r>
      <w:r w:rsidR="5312FFA7" w:rsidRPr="727BFE15">
        <w:rPr>
          <w:b/>
          <w:bCs/>
        </w:rPr>
        <w:t xml:space="preserve">ses and </w:t>
      </w:r>
      <w:r w:rsidR="35DCB467" w:rsidRPr="727BFE15">
        <w:rPr>
          <w:b/>
          <w:bCs/>
        </w:rPr>
        <w:t>a</w:t>
      </w:r>
      <w:r w:rsidR="5312FFA7" w:rsidRPr="727BFE15">
        <w:rPr>
          <w:b/>
          <w:bCs/>
        </w:rPr>
        <w:t>ssociated KPIs</w:t>
      </w:r>
      <w:r w:rsidRPr="727BFE15">
        <w:rPr>
          <w:b/>
          <w:bCs/>
        </w:rPr>
        <w:t xml:space="preserve">, </w:t>
      </w:r>
      <w:r w:rsidR="35DCB467" w:rsidRPr="727BFE15">
        <w:rPr>
          <w:b/>
          <w:bCs/>
        </w:rPr>
        <w:t>g</w:t>
      </w:r>
      <w:r w:rsidRPr="727BFE15">
        <w:rPr>
          <w:b/>
          <w:bCs/>
        </w:rPr>
        <w:t xml:space="preserve">rouped by </w:t>
      </w:r>
      <w:r w:rsidR="35DCB467" w:rsidRPr="727BFE15">
        <w:rPr>
          <w:b/>
          <w:bCs/>
        </w:rPr>
        <w:t>d</w:t>
      </w:r>
      <w:r w:rsidRPr="727BFE15">
        <w:rPr>
          <w:b/>
          <w:bCs/>
        </w:rPr>
        <w:t xml:space="preserve">esign </w:t>
      </w:r>
      <w:r w:rsidR="35DCB467" w:rsidRPr="727BFE15">
        <w:rPr>
          <w:b/>
          <w:bCs/>
        </w:rPr>
        <w:t>c</w:t>
      </w:r>
      <w:r w:rsidRPr="727BFE15">
        <w:rPr>
          <w:b/>
          <w:bCs/>
        </w:rPr>
        <w:t>riteria</w:t>
      </w:r>
    </w:p>
    <w:tbl>
      <w:tblPr>
        <w:tblW w:w="0" w:type="auto"/>
        <w:tblLayout w:type="fixed"/>
        <w:tblLook w:val="04A0" w:firstRow="1" w:lastRow="0" w:firstColumn="1" w:lastColumn="0" w:noHBand="0" w:noVBand="1"/>
      </w:tblPr>
      <w:tblGrid>
        <w:gridCol w:w="4230"/>
        <w:gridCol w:w="4230"/>
      </w:tblGrid>
      <w:tr w:rsidR="00A236CD" w14:paraId="518D24B5" w14:textId="77777777" w:rsidTr="00D07168">
        <w:trPr>
          <w:cantSplit/>
          <w:tblHeader/>
        </w:trPr>
        <w:tc>
          <w:tcPr>
            <w:tcW w:w="4230" w:type="dxa"/>
            <w:tcBorders>
              <w:top w:val="single" w:sz="6" w:space="0" w:color="auto"/>
              <w:left w:val="single" w:sz="6" w:space="0" w:color="auto"/>
              <w:bottom w:val="single" w:sz="6" w:space="0" w:color="auto"/>
              <w:right w:val="nil"/>
            </w:tcBorders>
            <w:shd w:val="clear" w:color="auto" w:fill="0AC3EF" w:themeFill="accent1"/>
          </w:tcPr>
          <w:p w14:paraId="4D0371E6" w14:textId="2EFDE280" w:rsidR="00A236CD" w:rsidRDefault="35DCB467" w:rsidP="727BFE15">
            <w:pPr>
              <w:rPr>
                <w:rFonts w:eastAsia="Times New Roman"/>
              </w:rPr>
            </w:pPr>
            <w:r w:rsidRPr="727BFE15">
              <w:rPr>
                <w:rFonts w:eastAsia="Times New Roman"/>
                <w:b/>
                <w:bCs/>
              </w:rPr>
              <w:t xml:space="preserve">Theory-of-change hypothesis  </w:t>
            </w:r>
          </w:p>
        </w:tc>
        <w:tc>
          <w:tcPr>
            <w:tcW w:w="4230" w:type="dxa"/>
            <w:tcBorders>
              <w:top w:val="single" w:sz="6" w:space="0" w:color="auto"/>
              <w:left w:val="nil"/>
              <w:bottom w:val="single" w:sz="6" w:space="0" w:color="auto"/>
              <w:right w:val="single" w:sz="6" w:space="0" w:color="auto"/>
            </w:tcBorders>
            <w:shd w:val="clear" w:color="auto" w:fill="0AC3EF" w:themeFill="accent1"/>
          </w:tcPr>
          <w:p w14:paraId="18355867" w14:textId="2F0C2C26" w:rsidR="00A236CD" w:rsidRDefault="35DCB467" w:rsidP="727BFE15">
            <w:pPr>
              <w:rPr>
                <w:rFonts w:eastAsia="Times New Roman"/>
              </w:rPr>
            </w:pPr>
            <w:r w:rsidRPr="727BFE15">
              <w:rPr>
                <w:rFonts w:eastAsia="Times New Roman"/>
                <w:b/>
                <w:bCs/>
              </w:rPr>
              <w:t xml:space="preserve">KPI </w:t>
            </w:r>
          </w:p>
        </w:tc>
      </w:tr>
      <w:tr w:rsidR="00373538" w14:paraId="025CEB5B" w14:textId="77777777" w:rsidTr="00D07168">
        <w:trPr>
          <w:cantSplit/>
        </w:trPr>
        <w:tc>
          <w:tcPr>
            <w:tcW w:w="8460" w:type="dxa"/>
            <w:gridSpan w:val="2"/>
            <w:tcBorders>
              <w:top w:val="single" w:sz="6" w:space="0" w:color="auto"/>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2EC623EC" w14:textId="77777777" w:rsidR="00373538" w:rsidRDefault="00373538" w:rsidP="00B34E09">
            <w:pPr>
              <w:jc w:val="center"/>
              <w:rPr>
                <w:rFonts w:eastAsia="Times New Roman"/>
                <w:szCs w:val="22"/>
              </w:rPr>
            </w:pPr>
            <w:r w:rsidRPr="4F167CE6">
              <w:rPr>
                <w:rFonts w:eastAsia="Times New Roman"/>
                <w:b/>
                <w:bCs/>
                <w:szCs w:val="22"/>
              </w:rPr>
              <w:t>Affordability</w:t>
            </w:r>
          </w:p>
        </w:tc>
      </w:tr>
      <w:tr w:rsidR="00373538" w14:paraId="75B85AC1" w14:textId="77777777" w:rsidTr="00D07168">
        <w:trPr>
          <w:cantSplit/>
          <w:trHeight w:val="1260"/>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41BDB4A3" w14:textId="13C067FA" w:rsidR="00373538" w:rsidRPr="006D7D8F" w:rsidRDefault="5832C993" w:rsidP="727BFE15">
            <w:pPr>
              <w:rPr>
                <w:rFonts w:eastAsia="Times New Roman"/>
                <w:color w:val="282828" w:themeColor="text1"/>
              </w:rPr>
            </w:pPr>
            <w:r w:rsidRPr="727BFE15">
              <w:rPr>
                <w:rFonts w:eastAsia="Times New Roman"/>
                <w:color w:val="282828" w:themeColor="text1"/>
              </w:rPr>
              <w:t xml:space="preserve">A </w:t>
            </w:r>
            <w:r w:rsidR="2F7B35B6" w:rsidRPr="727BFE15">
              <w:rPr>
                <w:rFonts w:eastAsia="Times New Roman"/>
                <w:color w:val="282828" w:themeColor="text1"/>
              </w:rPr>
              <w:t>TO</w:t>
            </w:r>
            <w:r w:rsidRPr="727BFE15">
              <w:rPr>
                <w:rFonts w:eastAsia="Times New Roman"/>
                <w:color w:val="282828" w:themeColor="text1"/>
              </w:rPr>
              <w:t>B investment model can deploy  shared</w:t>
            </w:r>
            <w:r w:rsidR="2F7B35B6" w:rsidRPr="727BFE15">
              <w:rPr>
                <w:rFonts w:eastAsia="Times New Roman"/>
                <w:color w:val="282828" w:themeColor="text1"/>
              </w:rPr>
              <w:t>-</w:t>
            </w:r>
            <w:r w:rsidRPr="727BFE15">
              <w:rPr>
                <w:rFonts w:eastAsia="Times New Roman"/>
                <w:color w:val="282828" w:themeColor="text1"/>
              </w:rPr>
              <w:t>savings method</w:t>
            </w:r>
            <w:r w:rsidR="2F7B35B6" w:rsidRPr="727BFE15">
              <w:rPr>
                <w:rFonts w:eastAsia="Times New Roman"/>
                <w:color w:val="282828" w:themeColor="text1"/>
              </w:rPr>
              <w:t>s</w:t>
            </w:r>
            <w:r w:rsidRPr="727BFE15">
              <w:rPr>
                <w:rFonts w:eastAsia="Times New Roman"/>
                <w:color w:val="282828" w:themeColor="text1"/>
              </w:rPr>
              <w:t xml:space="preserve"> that attract capital investments while reducing </w:t>
            </w:r>
            <w:r w:rsidR="2F7B35B6" w:rsidRPr="727BFE15">
              <w:rPr>
                <w:rFonts w:eastAsia="Times New Roman"/>
                <w:color w:val="282828" w:themeColor="text1"/>
              </w:rPr>
              <w:t>C</w:t>
            </w:r>
            <w:r w:rsidRPr="727BFE15">
              <w:rPr>
                <w:rFonts w:eastAsia="Times New Roman"/>
                <w:color w:val="282828" w:themeColor="text1"/>
              </w:rPr>
              <w:t xml:space="preserve">ustomer energy burdens. </w:t>
            </w:r>
          </w:p>
        </w:tc>
        <w:tc>
          <w:tcPr>
            <w:tcW w:w="4230" w:type="dxa"/>
            <w:tcBorders>
              <w:top w:val="nil"/>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25C79BFF" w14:textId="363A6311" w:rsidR="00373538" w:rsidRPr="006D7D8F" w:rsidRDefault="5832C993" w:rsidP="727BFE15">
            <w:pPr>
              <w:rPr>
                <w:rFonts w:eastAsia="Times New Roman"/>
                <w:color w:val="282828" w:themeColor="text1"/>
              </w:rPr>
            </w:pPr>
            <w:r w:rsidRPr="727BFE15">
              <w:rPr>
                <w:rFonts w:eastAsia="Times New Roman"/>
                <w:color w:val="282828" w:themeColor="text1"/>
              </w:rPr>
              <w:t>Occupant retains least 20</w:t>
            </w:r>
            <w:r w:rsidR="2F7B35B6" w:rsidRPr="727BFE15">
              <w:rPr>
                <w:rFonts w:eastAsia="Times New Roman"/>
                <w:color w:val="282828" w:themeColor="text1"/>
              </w:rPr>
              <w:t>%</w:t>
            </w:r>
            <w:r w:rsidRPr="727BFE15">
              <w:rPr>
                <w:rFonts w:eastAsia="Times New Roman"/>
                <w:color w:val="282828" w:themeColor="text1"/>
              </w:rPr>
              <w:t xml:space="preserve"> of the </w:t>
            </w:r>
            <w:r w:rsidR="48BEC29B" w:rsidRPr="727BFE15">
              <w:rPr>
                <w:rFonts w:eastAsia="Times New Roman"/>
                <w:color w:val="282828" w:themeColor="text1"/>
              </w:rPr>
              <w:t xml:space="preserve">expected </w:t>
            </w:r>
            <w:r w:rsidRPr="727BFE15">
              <w:rPr>
                <w:rFonts w:eastAsia="Times New Roman"/>
                <w:color w:val="282828" w:themeColor="text1"/>
              </w:rPr>
              <w:t>annual energy savings</w:t>
            </w:r>
            <w:r w:rsidR="48BEC29B" w:rsidRPr="727BFE15">
              <w:rPr>
                <w:rFonts w:eastAsia="Times New Roman"/>
                <w:color w:val="282828" w:themeColor="text1"/>
              </w:rPr>
              <w:t xml:space="preserve"> and 10</w:t>
            </w:r>
            <w:r w:rsidR="2F7B35B6" w:rsidRPr="727BFE15">
              <w:rPr>
                <w:rFonts w:eastAsia="Times New Roman"/>
                <w:color w:val="282828" w:themeColor="text1"/>
              </w:rPr>
              <w:t>%</w:t>
            </w:r>
            <w:r w:rsidR="48BEC29B" w:rsidRPr="727BFE15">
              <w:rPr>
                <w:rFonts w:eastAsia="Times New Roman"/>
                <w:color w:val="282828" w:themeColor="text1"/>
              </w:rPr>
              <w:t xml:space="preserve"> of the actual metered energy savings</w:t>
            </w:r>
          </w:p>
        </w:tc>
      </w:tr>
      <w:tr w:rsidR="00373538" w14:paraId="47278C14" w14:textId="77777777" w:rsidTr="00D07168">
        <w:trPr>
          <w:cantSplit/>
          <w:trHeight w:val="1830"/>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3C7E8524" w14:textId="5F7A24DF" w:rsidR="00373538" w:rsidRPr="006D7D8F" w:rsidRDefault="5832C993" w:rsidP="727BFE15">
            <w:pPr>
              <w:rPr>
                <w:rFonts w:eastAsia="Times New Roman"/>
                <w:color w:val="282828" w:themeColor="text1"/>
              </w:rPr>
            </w:pPr>
            <w:r w:rsidRPr="727BFE15">
              <w:rPr>
                <w:rFonts w:eastAsia="Times New Roman"/>
                <w:color w:val="282828" w:themeColor="text1"/>
              </w:rPr>
              <w:t xml:space="preserve">By incorporating risk mitigation strategies that protect </w:t>
            </w:r>
            <w:r w:rsidR="2F7B35B6" w:rsidRPr="727BFE15">
              <w:rPr>
                <w:rFonts w:eastAsia="Times New Roman"/>
                <w:color w:val="282828" w:themeColor="text1"/>
              </w:rPr>
              <w:t>C</w:t>
            </w:r>
            <w:r w:rsidRPr="727BFE15">
              <w:rPr>
                <w:rFonts w:eastAsia="Times New Roman"/>
                <w:color w:val="282828" w:themeColor="text1"/>
              </w:rPr>
              <w:t>ustomers, the utility, and the capital providers, a TOB program can acquire capital below the market rate for unsecured consumer loans and below the IOUs’ weighted average cost of capital.</w:t>
            </w:r>
          </w:p>
        </w:tc>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5CC686A0" w14:textId="0BD6EA43" w:rsidR="00373538" w:rsidRPr="006D7D8F" w:rsidRDefault="5832C993" w:rsidP="727BFE15">
            <w:pPr>
              <w:rPr>
                <w:rFonts w:eastAsia="Times New Roman"/>
                <w:color w:val="282828" w:themeColor="text1"/>
              </w:rPr>
            </w:pPr>
            <w:r w:rsidRPr="727BFE15">
              <w:rPr>
                <w:rFonts w:eastAsia="Times New Roman"/>
                <w:color w:val="282828" w:themeColor="text1"/>
              </w:rPr>
              <w:t>P</w:t>
            </w:r>
            <w:r w:rsidR="0CCD451A" w:rsidRPr="727BFE15">
              <w:rPr>
                <w:rFonts w:eastAsia="Times New Roman"/>
                <w:color w:val="282828" w:themeColor="text1"/>
              </w:rPr>
              <w:t>rogram</w:t>
            </w:r>
            <w:r w:rsidRPr="727BFE15">
              <w:rPr>
                <w:rFonts w:eastAsia="Times New Roman"/>
                <w:color w:val="282828" w:themeColor="text1"/>
              </w:rPr>
              <w:t xml:space="preserve"> cost of capital is less than the lowest GoGreen Financing interest rate for unsecured consumer debt and less than IOU </w:t>
            </w:r>
            <w:r w:rsidR="37710E36" w:rsidRPr="727BFE15">
              <w:rPr>
                <w:rFonts w:eastAsia="Times New Roman"/>
                <w:color w:val="282828" w:themeColor="text1"/>
              </w:rPr>
              <w:t>w</w:t>
            </w:r>
            <w:r w:rsidRPr="727BFE15">
              <w:rPr>
                <w:rFonts w:eastAsia="Times New Roman"/>
                <w:color w:val="282828" w:themeColor="text1"/>
              </w:rPr>
              <w:t xml:space="preserve">eighted </w:t>
            </w:r>
            <w:r w:rsidR="37710E36" w:rsidRPr="727BFE15">
              <w:rPr>
                <w:rFonts w:eastAsia="Times New Roman"/>
                <w:color w:val="282828" w:themeColor="text1"/>
              </w:rPr>
              <w:t>a</w:t>
            </w:r>
            <w:r w:rsidRPr="727BFE15">
              <w:rPr>
                <w:rFonts w:eastAsia="Times New Roman"/>
                <w:color w:val="282828" w:themeColor="text1"/>
              </w:rPr>
              <w:t xml:space="preserve">verage </w:t>
            </w:r>
            <w:r w:rsidR="37710E36" w:rsidRPr="727BFE15">
              <w:rPr>
                <w:rFonts w:eastAsia="Times New Roman"/>
                <w:color w:val="282828" w:themeColor="text1"/>
              </w:rPr>
              <w:t>c</w:t>
            </w:r>
            <w:r w:rsidRPr="727BFE15">
              <w:rPr>
                <w:rFonts w:eastAsia="Times New Roman"/>
                <w:color w:val="282828" w:themeColor="text1"/>
              </w:rPr>
              <w:t xml:space="preserve">ost of </w:t>
            </w:r>
            <w:r w:rsidR="37710E36" w:rsidRPr="727BFE15">
              <w:rPr>
                <w:rFonts w:eastAsia="Times New Roman"/>
                <w:color w:val="282828" w:themeColor="text1"/>
              </w:rPr>
              <w:t>c</w:t>
            </w:r>
            <w:r w:rsidRPr="727BFE15">
              <w:rPr>
                <w:rFonts w:eastAsia="Times New Roman"/>
                <w:color w:val="282828" w:themeColor="text1"/>
              </w:rPr>
              <w:t xml:space="preserve">apital (7-8%) </w:t>
            </w:r>
          </w:p>
        </w:tc>
      </w:tr>
      <w:tr w:rsidR="00373538" w14:paraId="7B2FF30A" w14:textId="77777777" w:rsidTr="00D07168">
        <w:trPr>
          <w:cantSplit/>
        </w:trPr>
        <w:tc>
          <w:tcPr>
            <w:tcW w:w="846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7E115D29" w14:textId="77777777" w:rsidR="00373538" w:rsidRPr="006D7D8F" w:rsidRDefault="00373538" w:rsidP="00B34E09">
            <w:pPr>
              <w:jc w:val="center"/>
              <w:rPr>
                <w:rFonts w:eastAsia="Times New Roman"/>
                <w:color w:val="282828" w:themeColor="text1"/>
                <w:szCs w:val="22"/>
              </w:rPr>
            </w:pPr>
            <w:r w:rsidRPr="006D7D8F">
              <w:rPr>
                <w:rFonts w:eastAsia="Times New Roman"/>
                <w:b/>
                <w:bCs/>
                <w:color w:val="282828" w:themeColor="text1"/>
                <w:szCs w:val="22"/>
              </w:rPr>
              <w:t>Maximum impact and uptake</w:t>
            </w:r>
          </w:p>
        </w:tc>
      </w:tr>
      <w:tr w:rsidR="00373538" w14:paraId="62B1614E" w14:textId="77777777" w:rsidTr="00D07168">
        <w:trPr>
          <w:cantSplit/>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798BBE4A" w14:textId="7D50FD22" w:rsidR="00373538" w:rsidRPr="006D7D8F" w:rsidRDefault="5832C993" w:rsidP="727BFE15">
            <w:pPr>
              <w:rPr>
                <w:rFonts w:eastAsia="Times New Roman"/>
                <w:color w:val="282828" w:themeColor="text1"/>
              </w:rPr>
            </w:pPr>
            <w:r w:rsidRPr="727BFE15">
              <w:rPr>
                <w:rFonts w:eastAsia="Times New Roman"/>
                <w:color w:val="282828" w:themeColor="text1"/>
              </w:rPr>
              <w:t>By adopting a shared</w:t>
            </w:r>
            <w:r w:rsidR="37710E36" w:rsidRPr="727BFE15">
              <w:rPr>
                <w:rFonts w:eastAsia="Times New Roman"/>
                <w:color w:val="282828" w:themeColor="text1"/>
              </w:rPr>
              <w:t>-</w:t>
            </w:r>
            <w:r w:rsidRPr="727BFE15">
              <w:rPr>
                <w:rFonts w:eastAsia="Times New Roman"/>
                <w:color w:val="282828" w:themeColor="text1"/>
              </w:rPr>
              <w:t xml:space="preserve">savings mechanism with the participating </w:t>
            </w:r>
            <w:r w:rsidR="37710E36" w:rsidRPr="727BFE15">
              <w:rPr>
                <w:rFonts w:eastAsia="Times New Roman"/>
                <w:color w:val="282828" w:themeColor="text1"/>
              </w:rPr>
              <w:t>C</w:t>
            </w:r>
            <w:r w:rsidRPr="727BFE15">
              <w:rPr>
                <w:rFonts w:eastAsia="Times New Roman"/>
                <w:color w:val="282828" w:themeColor="text1"/>
              </w:rPr>
              <w:t xml:space="preserve">ustomer, a </w:t>
            </w:r>
            <w:r w:rsidR="37710E36" w:rsidRPr="727BFE15">
              <w:rPr>
                <w:rFonts w:eastAsia="Times New Roman"/>
                <w:color w:val="282828" w:themeColor="text1"/>
              </w:rPr>
              <w:t>TOB</w:t>
            </w:r>
            <w:r w:rsidRPr="727BFE15">
              <w:rPr>
                <w:rFonts w:eastAsia="Times New Roman"/>
                <w:color w:val="282828" w:themeColor="text1"/>
              </w:rPr>
              <w:t xml:space="preserve"> investment model can</w:t>
            </w:r>
            <w:r w:rsidR="6D302374" w:rsidRPr="727BFE15">
              <w:rPr>
                <w:rFonts w:eastAsia="Times New Roman"/>
                <w:color w:val="282828" w:themeColor="text1"/>
              </w:rPr>
              <w:t xml:space="preserve"> offer </w:t>
            </w:r>
            <w:r w:rsidR="37710E36" w:rsidRPr="727BFE15">
              <w:rPr>
                <w:rFonts w:eastAsia="Times New Roman"/>
                <w:color w:val="282828" w:themeColor="text1"/>
              </w:rPr>
              <w:t>C</w:t>
            </w:r>
            <w:r w:rsidR="6D302374" w:rsidRPr="727BFE15">
              <w:rPr>
                <w:rFonts w:eastAsia="Times New Roman"/>
                <w:color w:val="282828" w:themeColor="text1"/>
              </w:rPr>
              <w:t>ustomers clean</w:t>
            </w:r>
            <w:r w:rsidR="37710E36" w:rsidRPr="727BFE15">
              <w:rPr>
                <w:rFonts w:eastAsia="Times New Roman"/>
                <w:color w:val="282828" w:themeColor="text1"/>
              </w:rPr>
              <w:t>-</w:t>
            </w:r>
            <w:r w:rsidR="6D302374" w:rsidRPr="727BFE15">
              <w:rPr>
                <w:rFonts w:eastAsia="Times New Roman"/>
                <w:color w:val="282828" w:themeColor="text1"/>
              </w:rPr>
              <w:t xml:space="preserve">energy upgrades with little or no </w:t>
            </w:r>
            <w:r w:rsidR="37710E36" w:rsidRPr="727BFE15">
              <w:rPr>
                <w:rFonts w:eastAsia="Times New Roman"/>
                <w:color w:val="282828" w:themeColor="text1"/>
              </w:rPr>
              <w:t>C</w:t>
            </w:r>
            <w:r w:rsidR="0C4476A9" w:rsidRPr="727BFE15">
              <w:rPr>
                <w:rFonts w:eastAsia="Times New Roman"/>
                <w:color w:val="282828" w:themeColor="text1"/>
              </w:rPr>
              <w:t>ustomer co</w:t>
            </w:r>
            <w:r w:rsidR="37710E36" w:rsidRPr="727BFE15">
              <w:rPr>
                <w:rFonts w:eastAsia="Times New Roman"/>
                <w:color w:val="282828" w:themeColor="text1"/>
              </w:rPr>
              <w:t>-</w:t>
            </w:r>
            <w:r w:rsidR="0C4476A9" w:rsidRPr="727BFE15">
              <w:rPr>
                <w:rFonts w:eastAsia="Times New Roman"/>
                <w:color w:val="282828" w:themeColor="text1"/>
              </w:rPr>
              <w:t>payments</w:t>
            </w:r>
            <w:r w:rsidR="5C7D2108" w:rsidRPr="727BFE15">
              <w:rPr>
                <w:rFonts w:eastAsia="Times New Roman"/>
                <w:color w:val="282828" w:themeColor="text1"/>
              </w:rPr>
              <w:t>.</w:t>
            </w:r>
          </w:p>
        </w:tc>
        <w:tc>
          <w:tcPr>
            <w:tcW w:w="4230" w:type="dxa"/>
            <w:tcBorders>
              <w:top w:val="nil"/>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0110203C" w14:textId="2D0EC2D1" w:rsidR="00373538" w:rsidRPr="006D7D8F" w:rsidRDefault="00373538" w:rsidP="00B34E09">
            <w:pPr>
              <w:rPr>
                <w:rFonts w:eastAsia="Times New Roman"/>
                <w:color w:val="282828" w:themeColor="text1"/>
                <w:szCs w:val="22"/>
              </w:rPr>
            </w:pPr>
            <w:r w:rsidRPr="006D7D8F">
              <w:rPr>
                <w:rFonts w:eastAsia="Times New Roman"/>
                <w:color w:val="282828" w:themeColor="text1"/>
                <w:szCs w:val="22"/>
              </w:rPr>
              <w:t xml:space="preserve">Average TOB private capital investment </w:t>
            </w:r>
            <w:r w:rsidR="007343BC">
              <w:rPr>
                <w:rFonts w:eastAsia="Times New Roman"/>
                <w:color w:val="282828" w:themeColor="text1"/>
                <w:szCs w:val="22"/>
              </w:rPr>
              <w:t>plus available incentives</w:t>
            </w:r>
            <w:r w:rsidR="00361E39">
              <w:rPr>
                <w:rFonts w:eastAsia="Times New Roman"/>
                <w:color w:val="282828" w:themeColor="text1"/>
                <w:szCs w:val="22"/>
              </w:rPr>
              <w:t xml:space="preserve"> sufficient to cover installation costs</w:t>
            </w:r>
          </w:p>
        </w:tc>
      </w:tr>
      <w:tr w:rsidR="00373538" w14:paraId="53575992" w14:textId="77777777" w:rsidTr="00D07168">
        <w:trPr>
          <w:cantSplit/>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49EEE06D" w14:textId="77777777" w:rsidR="00373538" w:rsidRPr="006D7D8F" w:rsidRDefault="00373538" w:rsidP="00B34E09">
            <w:pPr>
              <w:rPr>
                <w:rFonts w:eastAsia="Times New Roman"/>
                <w:color w:val="282828" w:themeColor="text1"/>
                <w:szCs w:val="22"/>
              </w:rPr>
            </w:pPr>
            <w:r w:rsidRPr="006D7D8F">
              <w:rPr>
                <w:rFonts w:eastAsia="Times New Roman"/>
                <w:color w:val="282828" w:themeColor="text1"/>
                <w:szCs w:val="22"/>
              </w:rPr>
              <w:t xml:space="preserve">Within four years of launch, a TOB program, combined with aggressive and complementary incentives and market transformation investments, can achieve a participation rate equivalent to 50 percent of the annual replacement rate for furnaces and water heaters in the target market. </w:t>
            </w:r>
          </w:p>
        </w:tc>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6C249AE6" w14:textId="52E4B768" w:rsidR="00373538" w:rsidRPr="00675A5C" w:rsidRDefault="00373538" w:rsidP="00FA598B">
            <w:pPr>
              <w:spacing w:before="80" w:line="276" w:lineRule="auto"/>
              <w:ind w:hanging="24"/>
              <w:rPr>
                <w:rFonts w:eastAsia="Times New Roman"/>
                <w:color w:val="282828" w:themeColor="text1"/>
              </w:rPr>
            </w:pPr>
            <w:r w:rsidRPr="00675A5C">
              <w:rPr>
                <w:rFonts w:eastAsia="Times New Roman"/>
                <w:color w:val="282828" w:themeColor="text1"/>
              </w:rPr>
              <w:t xml:space="preserve">Within two years, </w:t>
            </w:r>
            <w:r w:rsidR="00B36C47">
              <w:rPr>
                <w:rFonts w:eastAsia="Times New Roman"/>
                <w:color w:val="282828" w:themeColor="text1"/>
              </w:rPr>
              <w:t>d</w:t>
            </w:r>
            <w:r w:rsidRPr="00675A5C">
              <w:rPr>
                <w:rFonts w:eastAsia="Times New Roman"/>
                <w:color w:val="282828" w:themeColor="text1"/>
              </w:rPr>
              <w:t>emonstrate pathway for production-scale program to serve 50 percent of annual equipment replacements among population of customers that meet filter criteria</w:t>
            </w:r>
            <w:r w:rsidR="00247579">
              <w:rPr>
                <w:rFonts w:eastAsia="Times New Roman"/>
                <w:color w:val="282828" w:themeColor="text1"/>
              </w:rPr>
              <w:t xml:space="preserve"> based on annual bill savings opportunities</w:t>
            </w:r>
            <w:r w:rsidRPr="00675A5C">
              <w:rPr>
                <w:rFonts w:eastAsia="Times New Roman"/>
                <w:color w:val="282828" w:themeColor="text1"/>
              </w:rPr>
              <w:t>.</w:t>
            </w:r>
          </w:p>
        </w:tc>
      </w:tr>
      <w:tr w:rsidR="00373538" w14:paraId="74E257AE" w14:textId="77777777" w:rsidTr="00D07168">
        <w:trPr>
          <w:cantSplit/>
        </w:trPr>
        <w:tc>
          <w:tcPr>
            <w:tcW w:w="846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59142528" w14:textId="77777777" w:rsidR="00373538" w:rsidRDefault="00373538" w:rsidP="00B34E09">
            <w:pPr>
              <w:jc w:val="center"/>
              <w:rPr>
                <w:rFonts w:eastAsia="Times New Roman"/>
                <w:szCs w:val="22"/>
              </w:rPr>
            </w:pPr>
            <w:r w:rsidRPr="4F167CE6">
              <w:rPr>
                <w:rFonts w:eastAsia="Times New Roman"/>
                <w:b/>
                <w:bCs/>
                <w:szCs w:val="22"/>
              </w:rPr>
              <w:t>Reduced complexity</w:t>
            </w:r>
          </w:p>
        </w:tc>
      </w:tr>
      <w:tr w:rsidR="00373538" w14:paraId="4B2A990E" w14:textId="77777777" w:rsidTr="00D07168">
        <w:trPr>
          <w:cantSplit/>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2A4A9A7C" w14:textId="2F9ADCF8" w:rsidR="00373538" w:rsidRDefault="5832C993" w:rsidP="727BFE15">
            <w:pPr>
              <w:rPr>
                <w:rFonts w:eastAsia="Times New Roman"/>
              </w:rPr>
            </w:pPr>
            <w:r w:rsidRPr="727BFE15">
              <w:rPr>
                <w:rFonts w:eastAsia="Times New Roman"/>
              </w:rPr>
              <w:t>T</w:t>
            </w:r>
            <w:r w:rsidR="37710E36" w:rsidRPr="727BFE15">
              <w:rPr>
                <w:rFonts w:eastAsia="Times New Roman"/>
              </w:rPr>
              <w:t>OB</w:t>
            </w:r>
            <w:r w:rsidRPr="727BFE15">
              <w:rPr>
                <w:rFonts w:eastAsia="Times New Roman"/>
              </w:rPr>
              <w:t xml:space="preserve"> investments can be structured as a simple, transparent, and low-risk offer that facilitates high customer acceptance</w:t>
            </w:r>
          </w:p>
        </w:tc>
        <w:tc>
          <w:tcPr>
            <w:tcW w:w="4230" w:type="dxa"/>
            <w:tcBorders>
              <w:top w:val="nil"/>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0B154CA9" w14:textId="116BA725" w:rsidR="00373538" w:rsidRDefault="00373538" w:rsidP="00B34E09">
            <w:pPr>
              <w:rPr>
                <w:rFonts w:eastAsia="Times New Roman"/>
                <w:szCs w:val="22"/>
              </w:rPr>
            </w:pPr>
            <w:r w:rsidRPr="4F167CE6">
              <w:rPr>
                <w:rFonts w:eastAsia="Times New Roman"/>
                <w:szCs w:val="22"/>
              </w:rPr>
              <w:t>50% of TOB</w:t>
            </w:r>
            <w:r w:rsidR="00247579">
              <w:rPr>
                <w:rFonts w:eastAsia="Times New Roman"/>
                <w:szCs w:val="22"/>
              </w:rPr>
              <w:t xml:space="preserve"> customer</w:t>
            </w:r>
            <w:r w:rsidRPr="4F167CE6">
              <w:rPr>
                <w:rFonts w:eastAsia="Times New Roman"/>
                <w:szCs w:val="22"/>
              </w:rPr>
              <w:t xml:space="preserve"> offers are accepted</w:t>
            </w:r>
          </w:p>
        </w:tc>
      </w:tr>
      <w:tr w:rsidR="00373538" w14:paraId="45E5E149" w14:textId="77777777" w:rsidTr="00D07168">
        <w:trPr>
          <w:cantSplit/>
        </w:trPr>
        <w:tc>
          <w:tcPr>
            <w:tcW w:w="846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3C3E87A0" w14:textId="77777777" w:rsidR="00373538" w:rsidRPr="003C4A97" w:rsidRDefault="5832C993" w:rsidP="727BFE15">
            <w:pPr>
              <w:jc w:val="center"/>
              <w:rPr>
                <w:rFonts w:eastAsia="Calibri" w:cs="Calibri"/>
              </w:rPr>
            </w:pPr>
            <w:r w:rsidRPr="727BFE15">
              <w:rPr>
                <w:rFonts w:eastAsia="Calibri" w:cs="Calibri"/>
                <w:b/>
                <w:bCs/>
              </w:rPr>
              <w:t>Minimizing risk</w:t>
            </w:r>
          </w:p>
        </w:tc>
      </w:tr>
      <w:tr w:rsidR="00373538" w14:paraId="09AE44B7" w14:textId="77777777" w:rsidTr="00D07168">
        <w:trPr>
          <w:cantSplit/>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1F009765" w14:textId="0BBA849F" w:rsidR="00373538" w:rsidRPr="00FB7A60" w:rsidRDefault="5832C993" w:rsidP="727BFE15">
            <w:pPr>
              <w:rPr>
                <w:rFonts w:eastAsia="Times New Roman"/>
                <w:color w:val="282828" w:themeColor="text1"/>
              </w:rPr>
            </w:pPr>
            <w:r w:rsidRPr="727BFE15">
              <w:rPr>
                <w:rFonts w:eastAsia="Times New Roman"/>
                <w:color w:val="282828" w:themeColor="text1"/>
              </w:rPr>
              <w:t xml:space="preserve">A </w:t>
            </w:r>
            <w:r w:rsidR="2844246D" w:rsidRPr="727BFE15">
              <w:rPr>
                <w:rFonts w:eastAsia="Times New Roman"/>
                <w:color w:val="282828" w:themeColor="text1"/>
              </w:rPr>
              <w:t>TOB</w:t>
            </w:r>
            <w:r w:rsidRPr="727BFE15">
              <w:rPr>
                <w:rFonts w:eastAsia="Times New Roman"/>
                <w:color w:val="282828" w:themeColor="text1"/>
              </w:rPr>
              <w:t xml:space="preserve"> investment model can incorporate </w:t>
            </w:r>
            <w:r w:rsidR="40AC4003" w:rsidRPr="727BFE15">
              <w:rPr>
                <w:rFonts w:eastAsia="Times New Roman"/>
                <w:color w:val="282828" w:themeColor="text1"/>
              </w:rPr>
              <w:t>customer protection</w:t>
            </w:r>
            <w:r w:rsidRPr="727BFE15">
              <w:rPr>
                <w:rFonts w:eastAsia="Times New Roman"/>
                <w:color w:val="282828" w:themeColor="text1"/>
              </w:rPr>
              <w:t>s that offer participants a 99</w:t>
            </w:r>
            <w:r w:rsidR="2844246D" w:rsidRPr="727BFE15">
              <w:rPr>
                <w:rFonts w:eastAsia="Times New Roman"/>
                <w:color w:val="282828" w:themeColor="text1"/>
              </w:rPr>
              <w:t>%</w:t>
            </w:r>
            <w:r w:rsidRPr="727BFE15">
              <w:rPr>
                <w:rFonts w:eastAsia="Times New Roman"/>
                <w:color w:val="282828" w:themeColor="text1"/>
              </w:rPr>
              <w:t xml:space="preserve"> probability of cash-positive outcomes as shown by meter-based </w:t>
            </w:r>
            <w:r w:rsidR="2844246D" w:rsidRPr="727BFE15">
              <w:rPr>
                <w:rFonts w:eastAsia="Times New Roman"/>
                <w:color w:val="282828" w:themeColor="text1"/>
              </w:rPr>
              <w:t>M&amp;V</w:t>
            </w:r>
            <w:r w:rsidR="49852BF0" w:rsidRPr="727BFE15">
              <w:rPr>
                <w:rFonts w:eastAsia="Times New Roman"/>
                <w:color w:val="282828" w:themeColor="text1"/>
              </w:rPr>
              <w:t xml:space="preserve"> of program-sponsored improvements</w:t>
            </w:r>
            <w:r w:rsidRPr="727BFE15">
              <w:rPr>
                <w:rFonts w:eastAsia="Times New Roman"/>
                <w:color w:val="282828" w:themeColor="text1"/>
              </w:rPr>
              <w:t xml:space="preserve">, excluding </w:t>
            </w:r>
            <w:r w:rsidR="2844246D" w:rsidRPr="727BFE15">
              <w:rPr>
                <w:rFonts w:eastAsia="Times New Roman"/>
                <w:color w:val="282828" w:themeColor="text1"/>
              </w:rPr>
              <w:t>U</w:t>
            </w:r>
            <w:r w:rsidRPr="727BFE15">
              <w:rPr>
                <w:rFonts w:eastAsia="Times New Roman"/>
                <w:color w:val="282828" w:themeColor="text1"/>
              </w:rPr>
              <w:t xml:space="preserve">tility bill impacts from participants’ exogenous lifestyle choices. </w:t>
            </w:r>
          </w:p>
        </w:tc>
        <w:tc>
          <w:tcPr>
            <w:tcW w:w="4230" w:type="dxa"/>
            <w:tcBorders>
              <w:top w:val="nil"/>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74BCCA6A" w14:textId="34FA37CB" w:rsidR="00373538" w:rsidRPr="00FB7A60" w:rsidRDefault="5832C993" w:rsidP="727BFE15">
            <w:pPr>
              <w:rPr>
                <w:rFonts w:eastAsia="Times New Roman"/>
                <w:color w:val="282828" w:themeColor="text1"/>
              </w:rPr>
            </w:pPr>
            <w:r w:rsidRPr="727BFE15">
              <w:rPr>
                <w:rFonts w:eastAsia="Times New Roman"/>
                <w:color w:val="282828" w:themeColor="text1"/>
              </w:rPr>
              <w:t>Metered savings exceed 80</w:t>
            </w:r>
            <w:r w:rsidR="2844246D" w:rsidRPr="727BFE15">
              <w:rPr>
                <w:rFonts w:eastAsia="Times New Roman"/>
                <w:color w:val="282828" w:themeColor="text1"/>
              </w:rPr>
              <w:t>%</w:t>
            </w:r>
            <w:r w:rsidRPr="727BFE15">
              <w:rPr>
                <w:rFonts w:eastAsia="Times New Roman"/>
                <w:color w:val="282828" w:themeColor="text1"/>
              </w:rPr>
              <w:t xml:space="preserve"> of predicted savings </w:t>
            </w:r>
            <w:r w:rsidR="2844246D" w:rsidRPr="727BFE15">
              <w:rPr>
                <w:rFonts w:eastAsia="Times New Roman"/>
                <w:color w:val="282828" w:themeColor="text1"/>
              </w:rPr>
              <w:t>(</w:t>
            </w:r>
            <w:r w:rsidRPr="727BFE15">
              <w:rPr>
                <w:rFonts w:eastAsia="Times New Roman"/>
                <w:color w:val="282828" w:themeColor="text1"/>
              </w:rPr>
              <w:t>kWh and Therm</w:t>
            </w:r>
            <w:r w:rsidR="2844246D" w:rsidRPr="727BFE15">
              <w:rPr>
                <w:rFonts w:eastAsia="Times New Roman"/>
                <w:color w:val="282828" w:themeColor="text1"/>
              </w:rPr>
              <w:t>s)</w:t>
            </w:r>
            <w:r w:rsidRPr="727BFE15">
              <w:rPr>
                <w:rFonts w:eastAsia="Times New Roman"/>
                <w:color w:val="282828" w:themeColor="text1"/>
              </w:rPr>
              <w:t xml:space="preserve"> for at least 99</w:t>
            </w:r>
            <w:r w:rsidR="2844246D" w:rsidRPr="727BFE15">
              <w:rPr>
                <w:rFonts w:eastAsia="Times New Roman"/>
                <w:color w:val="282828" w:themeColor="text1"/>
              </w:rPr>
              <w:t>%</w:t>
            </w:r>
            <w:r w:rsidRPr="727BFE15">
              <w:rPr>
                <w:rFonts w:eastAsia="Times New Roman"/>
                <w:color w:val="282828" w:themeColor="text1"/>
              </w:rPr>
              <w:t xml:space="preserve"> of participants</w:t>
            </w:r>
            <w:r w:rsidR="0BD3E983" w:rsidRPr="727BFE15">
              <w:rPr>
                <w:rFonts w:eastAsia="Times New Roman"/>
                <w:color w:val="282828" w:themeColor="text1"/>
              </w:rPr>
              <w:t xml:space="preserve">. Performance guarantees assure that </w:t>
            </w:r>
            <w:r w:rsidR="5AEEE1E1" w:rsidRPr="727BFE15">
              <w:rPr>
                <w:rFonts w:eastAsia="Times New Roman"/>
                <w:color w:val="282828" w:themeColor="text1"/>
              </w:rPr>
              <w:t>all participants realize at least 90% of predicted savings.</w:t>
            </w:r>
            <w:r w:rsidRPr="727BFE15">
              <w:rPr>
                <w:rFonts w:eastAsia="Times New Roman"/>
                <w:color w:val="282828" w:themeColor="text1"/>
              </w:rPr>
              <w:t xml:space="preserve"> </w:t>
            </w:r>
          </w:p>
        </w:tc>
      </w:tr>
      <w:tr w:rsidR="00373538" w14:paraId="2A51B13B" w14:textId="77777777" w:rsidTr="00D07168">
        <w:trPr>
          <w:cantSplit/>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7D8ECBDC" w14:textId="6F4C63CD" w:rsidR="00373538" w:rsidRPr="00FB7A60" w:rsidRDefault="5832C993" w:rsidP="727BFE15">
            <w:pPr>
              <w:rPr>
                <w:rFonts w:eastAsia="Times New Roman"/>
                <w:color w:val="282828" w:themeColor="text1"/>
              </w:rPr>
            </w:pPr>
            <w:r w:rsidRPr="727BFE15">
              <w:rPr>
                <w:rFonts w:eastAsia="Times New Roman"/>
                <w:color w:val="282828" w:themeColor="text1"/>
              </w:rPr>
              <w:t xml:space="preserve">A </w:t>
            </w:r>
            <w:r w:rsidR="2844246D" w:rsidRPr="727BFE15">
              <w:rPr>
                <w:rFonts w:eastAsia="Times New Roman"/>
                <w:color w:val="282828" w:themeColor="text1"/>
              </w:rPr>
              <w:t>TOB</w:t>
            </w:r>
            <w:r w:rsidRPr="727BFE15">
              <w:rPr>
                <w:rFonts w:eastAsia="Times New Roman"/>
                <w:color w:val="282828" w:themeColor="text1"/>
              </w:rPr>
              <w:t xml:space="preserve"> program can incorporate safeguards that maintain or strengthen utility procedures for deferring or forgiving cost recovery obligations for customers experiencing job loss, high medical bills, etc., without thereby creating a moral hazard. </w:t>
            </w:r>
          </w:p>
        </w:tc>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448B2D32" w14:textId="06E0E291" w:rsidR="00373538" w:rsidRPr="00FB7A60" w:rsidRDefault="5832C993" w:rsidP="727BFE15">
            <w:pPr>
              <w:rPr>
                <w:rFonts w:eastAsia="Times New Roman"/>
                <w:color w:val="282828" w:themeColor="text1"/>
              </w:rPr>
            </w:pPr>
            <w:r w:rsidRPr="727BFE15">
              <w:rPr>
                <w:rFonts w:eastAsia="Times New Roman"/>
                <w:color w:val="282828" w:themeColor="text1"/>
              </w:rPr>
              <w:t>Program participants experience reduced arrears</w:t>
            </w:r>
            <w:r w:rsidR="2844246D" w:rsidRPr="727BFE15">
              <w:rPr>
                <w:rFonts w:eastAsia="Times New Roman"/>
                <w:color w:val="282828" w:themeColor="text1"/>
              </w:rPr>
              <w:t>,</w:t>
            </w:r>
            <w:r w:rsidRPr="727BFE15">
              <w:rPr>
                <w:rFonts w:eastAsia="Times New Roman"/>
                <w:color w:val="282828" w:themeColor="text1"/>
              </w:rPr>
              <w:t xml:space="preserve"> compared to </w:t>
            </w:r>
            <w:r w:rsidR="2844246D" w:rsidRPr="727BFE15">
              <w:rPr>
                <w:rFonts w:eastAsia="Times New Roman"/>
                <w:color w:val="282828" w:themeColor="text1"/>
              </w:rPr>
              <w:t xml:space="preserve">the </w:t>
            </w:r>
            <w:r w:rsidRPr="727BFE15">
              <w:rPr>
                <w:rFonts w:eastAsia="Times New Roman"/>
                <w:color w:val="282828" w:themeColor="text1"/>
              </w:rPr>
              <w:t xml:space="preserve">sponsoring </w:t>
            </w:r>
            <w:r w:rsidR="2844246D" w:rsidRPr="727BFE15">
              <w:rPr>
                <w:rFonts w:eastAsia="Times New Roman"/>
                <w:color w:val="282828" w:themeColor="text1"/>
              </w:rPr>
              <w:t>U</w:t>
            </w:r>
            <w:r w:rsidRPr="727BFE15">
              <w:rPr>
                <w:rFonts w:eastAsia="Times New Roman"/>
                <w:color w:val="282828" w:themeColor="text1"/>
              </w:rPr>
              <w:t>tility’s rates for the source population</w:t>
            </w:r>
          </w:p>
        </w:tc>
      </w:tr>
      <w:tr w:rsidR="00373538" w14:paraId="3F388155" w14:textId="77777777" w:rsidTr="00D07168">
        <w:trPr>
          <w:cantSplit/>
        </w:trPr>
        <w:tc>
          <w:tcPr>
            <w:tcW w:w="846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1B08E4A6" w14:textId="77777777" w:rsidR="00373538" w:rsidRPr="003C4A97" w:rsidRDefault="5832C993" w:rsidP="727BFE15">
            <w:pPr>
              <w:jc w:val="center"/>
              <w:rPr>
                <w:rFonts w:eastAsia="Calibri" w:cs="Calibri"/>
                <w:color w:val="282828" w:themeColor="text1"/>
              </w:rPr>
            </w:pPr>
            <w:r w:rsidRPr="727BFE15">
              <w:rPr>
                <w:rFonts w:eastAsia="Calibri" w:cs="Calibri"/>
                <w:b/>
                <w:bCs/>
                <w:color w:val="282828" w:themeColor="text1"/>
              </w:rPr>
              <w:t>Equity and inclusion</w:t>
            </w:r>
          </w:p>
        </w:tc>
      </w:tr>
      <w:tr w:rsidR="00373538" w14:paraId="6F7EDC30" w14:textId="77777777" w:rsidTr="00D07168">
        <w:trPr>
          <w:cantSplit/>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75C6693A" w14:textId="63DB5C55" w:rsidR="00373538" w:rsidRPr="00FB7A60" w:rsidRDefault="5832C993" w:rsidP="727BFE15">
            <w:pPr>
              <w:rPr>
                <w:rFonts w:eastAsia="Times New Roman"/>
                <w:color w:val="282828" w:themeColor="text1"/>
              </w:rPr>
            </w:pPr>
            <w:r w:rsidRPr="727BFE15">
              <w:rPr>
                <w:rFonts w:eastAsia="Times New Roman"/>
                <w:color w:val="282828" w:themeColor="text1"/>
              </w:rPr>
              <w:t>By adopting a shared</w:t>
            </w:r>
            <w:r w:rsidR="2844246D" w:rsidRPr="727BFE15">
              <w:rPr>
                <w:rFonts w:eastAsia="Times New Roman"/>
                <w:color w:val="282828" w:themeColor="text1"/>
              </w:rPr>
              <w:t>-</w:t>
            </w:r>
            <w:r w:rsidRPr="727BFE15">
              <w:rPr>
                <w:rFonts w:eastAsia="Times New Roman"/>
                <w:color w:val="282828" w:themeColor="text1"/>
              </w:rPr>
              <w:t xml:space="preserve">savings mechanism with the participating </w:t>
            </w:r>
            <w:r w:rsidR="2844246D" w:rsidRPr="727BFE15">
              <w:rPr>
                <w:rFonts w:eastAsia="Times New Roman"/>
                <w:color w:val="282828" w:themeColor="text1"/>
              </w:rPr>
              <w:t>C</w:t>
            </w:r>
            <w:r w:rsidRPr="727BFE15">
              <w:rPr>
                <w:rFonts w:eastAsia="Times New Roman"/>
                <w:color w:val="282828" w:themeColor="text1"/>
              </w:rPr>
              <w:t xml:space="preserve">ustomer, minimizing program complexity, and incorporating strong </w:t>
            </w:r>
            <w:r w:rsidR="40AC4003" w:rsidRPr="727BFE15">
              <w:rPr>
                <w:rFonts w:eastAsia="Times New Roman"/>
                <w:color w:val="282828" w:themeColor="text1"/>
              </w:rPr>
              <w:t>customer protection</w:t>
            </w:r>
            <w:r w:rsidRPr="727BFE15">
              <w:rPr>
                <w:rFonts w:eastAsia="Times New Roman"/>
                <w:color w:val="282828" w:themeColor="text1"/>
              </w:rPr>
              <w:t xml:space="preserve">s, TOB can facilitate investments benefiting low- and moderate-income households </w:t>
            </w:r>
          </w:p>
        </w:tc>
        <w:tc>
          <w:tcPr>
            <w:tcW w:w="4230" w:type="dxa"/>
            <w:tcBorders>
              <w:top w:val="nil"/>
              <w:left w:val="single" w:sz="6" w:space="0" w:color="FFFFFF" w:themeColor="background1"/>
              <w:bottom w:val="single" w:sz="6" w:space="0" w:color="FFFFFF" w:themeColor="background1"/>
              <w:right w:val="single" w:sz="6" w:space="0" w:color="FFFFFF" w:themeColor="background1"/>
            </w:tcBorders>
            <w:shd w:val="clear" w:color="auto" w:fill="CCF3FD" w:themeFill="accent1" w:themeFillTint="33"/>
          </w:tcPr>
          <w:p w14:paraId="6067218C" w14:textId="35D212AE" w:rsidR="00373538" w:rsidRPr="00FB7A60" w:rsidRDefault="5832C993" w:rsidP="00FF62ED">
            <w:r w:rsidRPr="727BFE15">
              <w:rPr>
                <w:rFonts w:eastAsia="Times New Roman"/>
                <w:color w:val="282828" w:themeColor="text1"/>
              </w:rPr>
              <w:t xml:space="preserve">Compared to the source population of </w:t>
            </w:r>
            <w:r w:rsidR="4F2558FF" w:rsidRPr="727BFE15">
              <w:rPr>
                <w:rFonts w:eastAsia="Times New Roman"/>
                <w:color w:val="282828" w:themeColor="text1"/>
              </w:rPr>
              <w:t>C</w:t>
            </w:r>
            <w:r w:rsidRPr="727BFE15">
              <w:rPr>
                <w:rFonts w:eastAsia="Times New Roman"/>
                <w:color w:val="282828" w:themeColor="text1"/>
              </w:rPr>
              <w:t>ustomers that meet filter criteria, Program achieves participation rates</w:t>
            </w:r>
            <w:r w:rsidR="37C92216" w:rsidRPr="727BFE15">
              <w:rPr>
                <w:rFonts w:eastAsia="Times New Roman"/>
                <w:color w:val="282828" w:themeColor="text1"/>
              </w:rPr>
              <w:t xml:space="preserve"> among LMI households</w:t>
            </w:r>
            <w:r w:rsidRPr="727BFE15">
              <w:rPr>
                <w:rFonts w:eastAsia="Times New Roman"/>
                <w:color w:val="282828" w:themeColor="text1"/>
              </w:rPr>
              <w:t xml:space="preserve"> that exceed observed rates </w:t>
            </w:r>
            <w:r w:rsidR="37C92216" w:rsidRPr="727BFE15">
              <w:rPr>
                <w:rFonts w:eastAsia="Times New Roman"/>
                <w:color w:val="282828" w:themeColor="text1"/>
              </w:rPr>
              <w:t>for comparable market-rate incentive and loan programs</w:t>
            </w:r>
          </w:p>
        </w:tc>
      </w:tr>
      <w:tr w:rsidR="00373538" w14:paraId="1FC5C84D" w14:textId="77777777" w:rsidTr="00D07168">
        <w:trPr>
          <w:cantSplit/>
        </w:trPr>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70D1FF97" w14:textId="44817EF4" w:rsidR="00373538" w:rsidRPr="00FB7A60" w:rsidRDefault="5832C993" w:rsidP="727BFE15">
            <w:pPr>
              <w:rPr>
                <w:rFonts w:eastAsia="Times New Roman"/>
                <w:color w:val="282828" w:themeColor="text1"/>
              </w:rPr>
            </w:pPr>
            <w:r w:rsidRPr="727BFE15">
              <w:rPr>
                <w:rFonts w:eastAsia="Times New Roman"/>
                <w:color w:val="282828" w:themeColor="text1"/>
              </w:rPr>
              <w:t xml:space="preserve">By linking the investment to the site rather than the customer and enabling the </w:t>
            </w:r>
            <w:r w:rsidR="079E8B9E" w:rsidRPr="727BFE15">
              <w:rPr>
                <w:rFonts w:eastAsia="Times New Roman"/>
                <w:color w:val="282828" w:themeColor="text1"/>
              </w:rPr>
              <w:t>Program Service Charge</w:t>
            </w:r>
            <w:r w:rsidRPr="727BFE15">
              <w:rPr>
                <w:rFonts w:eastAsia="Times New Roman"/>
                <w:color w:val="282828" w:themeColor="text1"/>
              </w:rPr>
              <w:t xml:space="preserve"> to transfer to successor </w:t>
            </w:r>
            <w:r w:rsidR="4F2558FF" w:rsidRPr="727BFE15">
              <w:rPr>
                <w:rFonts w:eastAsia="Times New Roman"/>
                <w:color w:val="282828" w:themeColor="text1"/>
              </w:rPr>
              <w:t>C</w:t>
            </w:r>
            <w:r w:rsidRPr="727BFE15">
              <w:rPr>
                <w:rFonts w:eastAsia="Times New Roman"/>
                <w:color w:val="282828" w:themeColor="text1"/>
              </w:rPr>
              <w:t xml:space="preserve">ustomers, TOB can facilitate investments benefiting renters </w:t>
            </w:r>
          </w:p>
        </w:tc>
        <w:tc>
          <w:tcPr>
            <w:tcW w:w="423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9AE8FA" w:themeFill="accent1" w:themeFillTint="66"/>
          </w:tcPr>
          <w:p w14:paraId="43474242" w14:textId="44AAE908" w:rsidR="00373538" w:rsidRPr="00FB7A60" w:rsidRDefault="00373538" w:rsidP="00B34E09">
            <w:pPr>
              <w:rPr>
                <w:rFonts w:eastAsia="Times New Roman"/>
                <w:color w:val="282828" w:themeColor="text1"/>
              </w:rPr>
            </w:pPr>
            <w:r w:rsidRPr="77B97FFA">
              <w:rPr>
                <w:rFonts w:eastAsia="Times New Roman"/>
                <w:color w:val="282828" w:themeColor="text1"/>
              </w:rPr>
              <w:t xml:space="preserve">Program upgrades housing units occupied by renters at a rate that meets or exceeds the observed rate </w:t>
            </w:r>
            <w:r w:rsidR="000029CA">
              <w:rPr>
                <w:rFonts w:eastAsia="Times New Roman"/>
                <w:color w:val="282828" w:themeColor="text1"/>
                <w:szCs w:val="22"/>
              </w:rPr>
              <w:t>comparable market-rate incentive and loan programs</w:t>
            </w:r>
          </w:p>
        </w:tc>
      </w:tr>
    </w:tbl>
    <w:p w14:paraId="36DF32C6" w14:textId="2DA221D5" w:rsidR="00442F06" w:rsidRDefault="00E35192" w:rsidP="00442F06">
      <w:pPr>
        <w:pStyle w:val="Heading2"/>
      </w:pPr>
      <w:bookmarkStart w:id="47" w:name="_Toc98921617"/>
      <w:r>
        <w:t>Schedule and Process</w:t>
      </w:r>
      <w:r w:rsidR="00442F06">
        <w:t xml:space="preserve"> for Tracking and Evaluating KPIs</w:t>
      </w:r>
      <w:bookmarkEnd w:id="47"/>
    </w:p>
    <w:p w14:paraId="044DD407" w14:textId="77777777" w:rsidR="00CF32DB" w:rsidRPr="00CF32DB" w:rsidRDefault="4F2558FF" w:rsidP="727BFE15">
      <w:pPr>
        <w:rPr>
          <w:i/>
          <w:iCs/>
        </w:rPr>
      </w:pPr>
      <w:r w:rsidRPr="727BFE15">
        <w:rPr>
          <w:i/>
          <w:iCs/>
        </w:rPr>
        <w:t>From the CPUC:</w:t>
      </w:r>
    </w:p>
    <w:p w14:paraId="19B80EEA" w14:textId="77777777" w:rsidR="00CF32DB" w:rsidRPr="00CF32DB" w:rsidRDefault="4F2558FF" w:rsidP="727BFE15">
      <w:pPr>
        <w:rPr>
          <w:i/>
          <w:iCs/>
        </w:rPr>
      </w:pPr>
      <w:r w:rsidRPr="727BFE15">
        <w:rPr>
          <w:i/>
          <w:iCs/>
        </w:rPr>
        <w:t>Describe the proposed schedule and process for tracking and evaluating these KPIs.</w:t>
      </w:r>
    </w:p>
    <w:p w14:paraId="027D5EF1" w14:textId="5723950E" w:rsidR="00967312" w:rsidRDefault="5E1D771C" w:rsidP="00022AB9">
      <w:r>
        <w:t>Data collection protocols for tracking and reporting</w:t>
      </w:r>
      <w:r w:rsidR="07886889">
        <w:t xml:space="preserve"> KPIs will be integrated into Program </w:t>
      </w:r>
      <w:r w:rsidR="4F2558FF">
        <w:t>o</w:t>
      </w:r>
      <w:r w:rsidR="07886889">
        <w:t xml:space="preserve">perating </w:t>
      </w:r>
      <w:r w:rsidR="4F2558FF">
        <w:t>p</w:t>
      </w:r>
      <w:r w:rsidR="07886889">
        <w:t>rocedures.</w:t>
      </w:r>
      <w:r w:rsidR="034B8157">
        <w:t xml:space="preserve"> The status of Program performance relative to KPIs will thus be</w:t>
      </w:r>
      <w:r w:rsidR="69290AD3">
        <w:t xml:space="preserve"> reportable</w:t>
      </w:r>
      <w:r w:rsidR="4F2558FF">
        <w:t xml:space="preserve">, </w:t>
      </w:r>
      <w:r w:rsidR="69290AD3">
        <w:t>ongoing. Evaluation of KPI outcomes relative</w:t>
      </w:r>
      <w:r w:rsidR="54F57CD8">
        <w:t xml:space="preserve"> to pre-established benchmarks will occur at the two-year anniversary of program launch.</w:t>
      </w:r>
    </w:p>
    <w:p w14:paraId="6BE014E2" w14:textId="60983A97" w:rsidR="00073BEB" w:rsidRDefault="21A78E93" w:rsidP="00E8373A">
      <w:pPr>
        <w:pStyle w:val="Heading1"/>
      </w:pPr>
      <w:bookmarkStart w:id="48" w:name="_Toc98921618"/>
      <w:r>
        <w:t>Part V</w:t>
      </w:r>
      <w:r w:rsidR="1E3ED69B">
        <w:t>I</w:t>
      </w:r>
      <w:r>
        <w:t>.</w:t>
      </w:r>
      <w:r w:rsidR="12697DA3">
        <w:t xml:space="preserve"> Proposal Response to ACR Issues and Topics</w:t>
      </w:r>
      <w:bookmarkEnd w:id="48"/>
    </w:p>
    <w:p w14:paraId="2CBBF93E" w14:textId="068F1586" w:rsidR="00CF32DB" w:rsidRPr="001A0B33" w:rsidRDefault="247FBA97" w:rsidP="727BFE15">
      <w:pPr>
        <w:rPr>
          <w:i/>
          <w:iCs/>
        </w:rPr>
      </w:pPr>
      <w:r w:rsidRPr="727BFE15">
        <w:rPr>
          <w:i/>
          <w:iCs/>
        </w:rPr>
        <w:t>From TECH Clean California:</w:t>
      </w:r>
    </w:p>
    <w:p w14:paraId="690A9CDA" w14:textId="7E099458" w:rsidR="00E83115" w:rsidRPr="001A0B33" w:rsidRDefault="09DDB517" w:rsidP="00A17426">
      <w:pPr>
        <w:pStyle w:val="CommentText"/>
      </w:pPr>
      <w:r w:rsidRPr="727BFE15">
        <w:t>For proposal responses, a</w:t>
      </w:r>
      <w:r w:rsidR="247FBA97" w:rsidRPr="727BFE15">
        <w:t>dd section references and page numbers to the relevant proposal passages</w:t>
      </w:r>
    </w:p>
    <w:p w14:paraId="45661193" w14:textId="4645D60C" w:rsidR="00E83115" w:rsidRPr="00AA16D2" w:rsidRDefault="247FBA97" w:rsidP="727BFE15">
      <w:pPr>
        <w:pStyle w:val="TableTitle0"/>
      </w:pPr>
      <w:r>
        <w:t xml:space="preserve">Table 18. ACR topics to be addressed, </w:t>
      </w:r>
      <w:r w:rsidR="7DC45F2F">
        <w:t>and proposal responses</w:t>
      </w:r>
    </w:p>
    <w:tbl>
      <w:tblPr>
        <w:tblStyle w:val="GridTable4-Accent1"/>
        <w:tblW w:w="0" w:type="auto"/>
        <w:tblLook w:val="04A0" w:firstRow="1" w:lastRow="0" w:firstColumn="1" w:lastColumn="0" w:noHBand="0" w:noVBand="1"/>
      </w:tblPr>
      <w:tblGrid>
        <w:gridCol w:w="6295"/>
        <w:gridCol w:w="3055"/>
      </w:tblGrid>
      <w:tr w:rsidR="00E8373A" w:rsidRPr="00CC6631" w14:paraId="2521B988" w14:textId="77777777" w:rsidTr="727BFE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607BFAF4" w14:textId="3750B173" w:rsidR="00E8373A" w:rsidRPr="00CC6631" w:rsidRDefault="13ACA273" w:rsidP="00E8373A">
            <w:r>
              <w:t xml:space="preserve">ACR </w:t>
            </w:r>
            <w:r w:rsidR="247FBA97">
              <w:t>t</w:t>
            </w:r>
            <w:r>
              <w:t>opic</w:t>
            </w:r>
            <w:r w:rsidR="67689EBF">
              <w:t xml:space="preserve">s and </w:t>
            </w:r>
            <w:r w:rsidR="247FBA97">
              <w:t>i</w:t>
            </w:r>
            <w:r w:rsidR="67689EBF">
              <w:t>ssues</w:t>
            </w:r>
          </w:p>
        </w:tc>
        <w:tc>
          <w:tcPr>
            <w:tcW w:w="0" w:type="dxa"/>
          </w:tcPr>
          <w:p w14:paraId="0F5759EE" w14:textId="534EE6D0" w:rsidR="00E8373A" w:rsidRPr="00CC6631" w:rsidRDefault="13ACA273" w:rsidP="00E8373A">
            <w:pPr>
              <w:cnfStyle w:val="100000000000" w:firstRow="1" w:lastRow="0" w:firstColumn="0" w:lastColumn="0" w:oddVBand="0" w:evenVBand="0" w:oddHBand="0" w:evenHBand="0" w:firstRowFirstColumn="0" w:firstRowLastColumn="0" w:lastRowFirstColumn="0" w:lastRowLastColumn="0"/>
            </w:pPr>
            <w:r>
              <w:t xml:space="preserve">Proposal </w:t>
            </w:r>
            <w:r w:rsidR="4F2558FF">
              <w:t>r</w:t>
            </w:r>
            <w:r>
              <w:t>esponse</w:t>
            </w:r>
          </w:p>
        </w:tc>
      </w:tr>
      <w:tr w:rsidR="0099750A" w:rsidRPr="00CC6631" w14:paraId="41ACCC22"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vAlign w:val="center"/>
          </w:tcPr>
          <w:p w14:paraId="77A9A1B0" w14:textId="338F9A5A" w:rsidR="0099750A" w:rsidRPr="00CC6631" w:rsidRDefault="0099750A" w:rsidP="0099750A">
            <w:pPr>
              <w:jc w:val="center"/>
            </w:pPr>
            <w:r w:rsidRPr="00CC6631">
              <w:t>Topic 1: Programmatic Goals and Coordination</w:t>
            </w:r>
          </w:p>
        </w:tc>
      </w:tr>
      <w:tr w:rsidR="00E8373A" w14:paraId="33528F47"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1D1FFD1C" w14:textId="37459580" w:rsidR="00E8373A" w:rsidRPr="00FF62ED" w:rsidRDefault="00D35584" w:rsidP="00781BD4">
            <w:pPr>
              <w:ind w:left="162" w:hanging="270"/>
              <w:rPr>
                <w:b w:val="0"/>
                <w:bCs w:val="0"/>
              </w:rPr>
            </w:pPr>
            <w:r w:rsidRPr="00FF62ED">
              <w:rPr>
                <w:b w:val="0"/>
                <w:bCs w:val="0"/>
              </w:rPr>
              <w:t>1. What are the benefits and costs of financing strategies that could apply to a suite of behind-the-meter clean energy resources including, but not limited to, energy efficiency, solar and storage, electric vehicle infrastructure, single</w:t>
            </w:r>
            <w:r w:rsidR="00F10B38" w:rsidRPr="00FF62ED">
              <w:rPr>
                <w:b w:val="0"/>
                <w:bCs w:val="0"/>
              </w:rPr>
              <w:t xml:space="preserve"> </w:t>
            </w:r>
            <w:r w:rsidRPr="00FF62ED">
              <w:rPr>
                <w:b w:val="0"/>
                <w:bCs w:val="0"/>
              </w:rPr>
              <w:t>customer microgrids, and other distributed energy resources?</w:t>
            </w:r>
          </w:p>
        </w:tc>
        <w:tc>
          <w:tcPr>
            <w:tcW w:w="3055" w:type="dxa"/>
          </w:tcPr>
          <w:p w14:paraId="6F3DDCF5" w14:textId="77777777" w:rsidR="00E8373A" w:rsidRDefault="00E8373A" w:rsidP="00E8373A">
            <w:pPr>
              <w:cnfStyle w:val="000000000000" w:firstRow="0" w:lastRow="0" w:firstColumn="0" w:lastColumn="0" w:oddVBand="0" w:evenVBand="0" w:oddHBand="0" w:evenHBand="0" w:firstRowFirstColumn="0" w:firstRowLastColumn="0" w:lastRowFirstColumn="0" w:lastRowLastColumn="0"/>
            </w:pPr>
          </w:p>
        </w:tc>
      </w:tr>
      <w:tr w:rsidR="00E8373A" w14:paraId="67F5E797"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Pr>
          <w:p w14:paraId="014F5C68" w14:textId="247CECE4" w:rsidR="00E8373A" w:rsidRPr="00CC6631" w:rsidRDefault="00781BD4" w:rsidP="00CC6631">
            <w:pPr>
              <w:pStyle w:val="ListParagraph"/>
              <w:numPr>
                <w:ilvl w:val="0"/>
                <w:numId w:val="46"/>
              </w:numPr>
              <w:ind w:left="162" w:hanging="270"/>
              <w:rPr>
                <w:b w:val="0"/>
                <w:bCs w:val="0"/>
              </w:rPr>
            </w:pPr>
            <w:r w:rsidRPr="00CC6631">
              <w:rPr>
                <w:b w:val="0"/>
                <w:bCs w:val="0"/>
              </w:rPr>
              <w:t>What baseline or benchmarks should be adopted to measure success of new programs in meeting their established goals and targets?</w:t>
            </w:r>
          </w:p>
        </w:tc>
        <w:tc>
          <w:tcPr>
            <w:tcW w:w="3055" w:type="dxa"/>
          </w:tcPr>
          <w:p w14:paraId="5C98AB71" w14:textId="77777777" w:rsidR="00E8373A" w:rsidRDefault="00E8373A" w:rsidP="00E8373A">
            <w:pPr>
              <w:cnfStyle w:val="000000100000" w:firstRow="0" w:lastRow="0" w:firstColumn="0" w:lastColumn="0" w:oddVBand="0" w:evenVBand="0" w:oddHBand="1" w:evenHBand="0" w:firstRowFirstColumn="0" w:firstRowLastColumn="0" w:lastRowFirstColumn="0" w:lastRowLastColumn="0"/>
            </w:pPr>
          </w:p>
        </w:tc>
      </w:tr>
      <w:tr w:rsidR="00E8373A" w14:paraId="26F4EB84"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5FC2737B" w14:textId="5868C1CB" w:rsidR="00E8373A" w:rsidRPr="00CC6631" w:rsidRDefault="3DFE0BBD" w:rsidP="00CC6631">
            <w:pPr>
              <w:pStyle w:val="ListParagraph"/>
              <w:numPr>
                <w:ilvl w:val="0"/>
                <w:numId w:val="46"/>
              </w:numPr>
              <w:ind w:left="162" w:hanging="270"/>
              <w:rPr>
                <w:b w:val="0"/>
                <w:bCs w:val="0"/>
              </w:rPr>
            </w:pPr>
            <w:r>
              <w:rPr>
                <w:b w:val="0"/>
                <w:bCs w:val="0"/>
              </w:rPr>
              <w:t xml:space="preserve">Should separate financing programs be developed for different </w:t>
            </w:r>
            <w:r w:rsidR="09DDB517">
              <w:rPr>
                <w:b w:val="0"/>
                <w:bCs w:val="0"/>
              </w:rPr>
              <w:t>C</w:t>
            </w:r>
            <w:r>
              <w:rPr>
                <w:b w:val="0"/>
                <w:bCs w:val="0"/>
              </w:rPr>
              <w:t>ustomer segments, including renters, lessees, and property owners?</w:t>
            </w:r>
          </w:p>
        </w:tc>
        <w:tc>
          <w:tcPr>
            <w:tcW w:w="3055" w:type="dxa"/>
          </w:tcPr>
          <w:p w14:paraId="41D5178A" w14:textId="77777777" w:rsidR="00E8373A" w:rsidRDefault="00E8373A" w:rsidP="00E8373A">
            <w:pPr>
              <w:cnfStyle w:val="000000000000" w:firstRow="0" w:lastRow="0" w:firstColumn="0" w:lastColumn="0" w:oddVBand="0" w:evenVBand="0" w:oddHBand="0" w:evenHBand="0" w:firstRowFirstColumn="0" w:firstRowLastColumn="0" w:lastRowFirstColumn="0" w:lastRowLastColumn="0"/>
            </w:pPr>
          </w:p>
        </w:tc>
      </w:tr>
      <w:tr w:rsidR="00E8373A" w14:paraId="217EE995"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Pr>
          <w:p w14:paraId="1CFBED63" w14:textId="31E9B71C" w:rsidR="00E8373A" w:rsidRPr="00CC6631" w:rsidRDefault="3DFE0BBD" w:rsidP="00CC6631">
            <w:pPr>
              <w:pStyle w:val="ListParagraph"/>
              <w:numPr>
                <w:ilvl w:val="0"/>
                <w:numId w:val="46"/>
              </w:numPr>
              <w:ind w:left="162" w:hanging="270"/>
              <w:rPr>
                <w:b w:val="0"/>
                <w:bCs w:val="0"/>
              </w:rPr>
            </w:pPr>
            <w:r>
              <w:rPr>
                <w:b w:val="0"/>
                <w:bCs w:val="0"/>
              </w:rPr>
              <w:t xml:space="preserve">What should happen if </w:t>
            </w:r>
            <w:r w:rsidR="09DDB517">
              <w:rPr>
                <w:b w:val="0"/>
                <w:bCs w:val="0"/>
              </w:rPr>
              <w:t>C</w:t>
            </w:r>
            <w:r>
              <w:rPr>
                <w:b w:val="0"/>
                <w:bCs w:val="0"/>
              </w:rPr>
              <w:t>ustomer</w:t>
            </w:r>
            <w:r w:rsidR="09DDB517">
              <w:rPr>
                <w:b w:val="0"/>
                <w:bCs w:val="0"/>
              </w:rPr>
              <w:t>s</w:t>
            </w:r>
            <w:r>
              <w:rPr>
                <w:b w:val="0"/>
                <w:bCs w:val="0"/>
              </w:rPr>
              <w:t xml:space="preserve"> enrolled in a financing program moves out of the property </w:t>
            </w:r>
            <w:r w:rsidR="09DDB517">
              <w:rPr>
                <w:b w:val="0"/>
                <w:bCs w:val="0"/>
              </w:rPr>
              <w:t xml:space="preserve">they </w:t>
            </w:r>
            <w:r>
              <w:rPr>
                <w:b w:val="0"/>
                <w:bCs w:val="0"/>
              </w:rPr>
              <w:t xml:space="preserve">rent or own before fully repaying the financer? What protections need to be put in place to disclose loan payments to subsequent </w:t>
            </w:r>
            <w:r w:rsidR="09DDB517">
              <w:rPr>
                <w:b w:val="0"/>
                <w:bCs w:val="0"/>
              </w:rPr>
              <w:t>U</w:t>
            </w:r>
            <w:r>
              <w:rPr>
                <w:b w:val="0"/>
                <w:bCs w:val="0"/>
              </w:rPr>
              <w:t>tility account holders?</w:t>
            </w:r>
          </w:p>
        </w:tc>
        <w:tc>
          <w:tcPr>
            <w:tcW w:w="3055" w:type="dxa"/>
          </w:tcPr>
          <w:p w14:paraId="07CEBEEB" w14:textId="77777777" w:rsidR="00E8373A" w:rsidRDefault="00E8373A" w:rsidP="00E8373A">
            <w:pPr>
              <w:cnfStyle w:val="000000100000" w:firstRow="0" w:lastRow="0" w:firstColumn="0" w:lastColumn="0" w:oddVBand="0" w:evenVBand="0" w:oddHBand="1" w:evenHBand="0" w:firstRowFirstColumn="0" w:firstRowLastColumn="0" w:lastRowFirstColumn="0" w:lastRowLastColumn="0"/>
            </w:pPr>
          </w:p>
        </w:tc>
      </w:tr>
      <w:tr w:rsidR="00E8373A" w14:paraId="18C2142C"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1CD3B30D" w14:textId="76A10989" w:rsidR="00E8373A" w:rsidRPr="00CC6631" w:rsidRDefault="001D2C21" w:rsidP="00CC6631">
            <w:pPr>
              <w:pStyle w:val="ListParagraph"/>
              <w:numPr>
                <w:ilvl w:val="0"/>
                <w:numId w:val="46"/>
              </w:numPr>
              <w:ind w:left="162" w:hanging="270"/>
              <w:rPr>
                <w:b w:val="0"/>
                <w:bCs w:val="0"/>
              </w:rPr>
            </w:pPr>
            <w:r w:rsidRPr="00CC6631">
              <w:rPr>
                <w:b w:val="0"/>
                <w:bCs w:val="0"/>
              </w:rPr>
              <w:t>What parameters, metrics, and requirements should be adopted to allow stacking of different financing tools to support a single customer’s energy investment(s) while still ensuring a simple repayment structure?</w:t>
            </w:r>
          </w:p>
        </w:tc>
        <w:tc>
          <w:tcPr>
            <w:tcW w:w="3055" w:type="dxa"/>
          </w:tcPr>
          <w:p w14:paraId="0088BCDD" w14:textId="77777777" w:rsidR="00E8373A" w:rsidRDefault="00E8373A" w:rsidP="00E8373A">
            <w:pPr>
              <w:cnfStyle w:val="000000000000" w:firstRow="0" w:lastRow="0" w:firstColumn="0" w:lastColumn="0" w:oddVBand="0" w:evenVBand="0" w:oddHBand="0" w:evenHBand="0" w:firstRowFirstColumn="0" w:firstRowLastColumn="0" w:lastRowFirstColumn="0" w:lastRowLastColumn="0"/>
            </w:pPr>
          </w:p>
        </w:tc>
      </w:tr>
      <w:tr w:rsidR="00B3669C" w14:paraId="0456289E"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vAlign w:val="center"/>
          </w:tcPr>
          <w:p w14:paraId="4FB24036" w14:textId="545D31AA" w:rsidR="00B3669C" w:rsidRDefault="00B3669C" w:rsidP="00FF62ED">
            <w:pPr>
              <w:jc w:val="center"/>
            </w:pPr>
            <w:r w:rsidRPr="00B3669C">
              <w:t>Topic 2: Marketing, Education, Outreach, and Evaluation</w:t>
            </w:r>
          </w:p>
        </w:tc>
      </w:tr>
      <w:tr w:rsidR="00F10B38" w14:paraId="7CC1A308"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7860F66F" w14:textId="5F6849EF" w:rsidR="00F10B38" w:rsidRPr="00FF62ED" w:rsidRDefault="5AA89D96" w:rsidP="00FF62ED">
            <w:pPr>
              <w:pStyle w:val="ListParagraph"/>
              <w:numPr>
                <w:ilvl w:val="0"/>
                <w:numId w:val="49"/>
              </w:numPr>
              <w:ind w:left="162" w:hanging="270"/>
              <w:rPr>
                <w:b w:val="0"/>
                <w:bCs w:val="0"/>
              </w:rPr>
            </w:pPr>
            <w:r>
              <w:rPr>
                <w:b w:val="0"/>
                <w:bCs w:val="0"/>
              </w:rPr>
              <w:t xml:space="preserve">Who should be responsible for developing and implementing marketing, education, and outreach </w:t>
            </w:r>
            <w:r w:rsidR="69F0865D">
              <w:rPr>
                <w:b w:val="0"/>
                <w:bCs w:val="0"/>
              </w:rPr>
              <w:t xml:space="preserve">(ME&amp;O) </w:t>
            </w:r>
            <w:r>
              <w:rPr>
                <w:b w:val="0"/>
                <w:bCs w:val="0"/>
              </w:rPr>
              <w:t>and evaluation associated with any new clean</w:t>
            </w:r>
            <w:r w:rsidR="09DDB517">
              <w:rPr>
                <w:b w:val="0"/>
                <w:bCs w:val="0"/>
              </w:rPr>
              <w:t>-</w:t>
            </w:r>
            <w:r>
              <w:rPr>
                <w:b w:val="0"/>
                <w:bCs w:val="0"/>
              </w:rPr>
              <w:t>energy financing programs? Which ME&amp;O and evaluation costs should be recoverable from IOU ratepayers, and which should be recovered from program partners, such as lenders and implementers?</w:t>
            </w:r>
          </w:p>
        </w:tc>
        <w:tc>
          <w:tcPr>
            <w:tcW w:w="3055" w:type="dxa"/>
          </w:tcPr>
          <w:p w14:paraId="3ADAF3A4" w14:textId="77777777" w:rsidR="00F10B38" w:rsidRDefault="00F10B38" w:rsidP="00E8373A">
            <w:pPr>
              <w:cnfStyle w:val="000000000000" w:firstRow="0" w:lastRow="0" w:firstColumn="0" w:lastColumn="0" w:oddVBand="0" w:evenVBand="0" w:oddHBand="0" w:evenHBand="0" w:firstRowFirstColumn="0" w:firstRowLastColumn="0" w:lastRowFirstColumn="0" w:lastRowLastColumn="0"/>
            </w:pPr>
          </w:p>
        </w:tc>
      </w:tr>
      <w:tr w:rsidR="00F10B38" w14:paraId="55F76A63"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Pr>
          <w:p w14:paraId="2B985C8C" w14:textId="577A00BB" w:rsidR="00F10B38" w:rsidRPr="00FF62ED" w:rsidRDefault="016F325B" w:rsidP="00FF62ED">
            <w:pPr>
              <w:pStyle w:val="ListParagraph"/>
              <w:numPr>
                <w:ilvl w:val="0"/>
                <w:numId w:val="49"/>
              </w:numPr>
              <w:ind w:left="162" w:hanging="270"/>
              <w:rPr>
                <w:b w:val="0"/>
                <w:bCs w:val="0"/>
              </w:rPr>
            </w:pPr>
            <w:r>
              <w:rPr>
                <w:b w:val="0"/>
                <w:bCs w:val="0"/>
              </w:rPr>
              <w:t xml:space="preserve">What </w:t>
            </w:r>
            <w:r w:rsidR="12F6087C">
              <w:rPr>
                <w:b w:val="0"/>
                <w:bCs w:val="0"/>
              </w:rPr>
              <w:t>P</w:t>
            </w:r>
            <w:r>
              <w:rPr>
                <w:b w:val="0"/>
                <w:bCs w:val="0"/>
              </w:rPr>
              <w:t>rogram design and evaluation strategies should be adopted, with special consideration given to ensuring new financing options are reaching specific hard-to-reach and low- and moderate-income communities, technology adoption goals, and financing repayment targets?</w:t>
            </w:r>
          </w:p>
        </w:tc>
        <w:tc>
          <w:tcPr>
            <w:tcW w:w="3055" w:type="dxa"/>
          </w:tcPr>
          <w:p w14:paraId="0F233D68" w14:textId="77777777" w:rsidR="00F10B38" w:rsidRDefault="00F10B38" w:rsidP="00E8373A">
            <w:pPr>
              <w:cnfStyle w:val="000000100000" w:firstRow="0" w:lastRow="0" w:firstColumn="0" w:lastColumn="0" w:oddVBand="0" w:evenVBand="0" w:oddHBand="1" w:evenHBand="0" w:firstRowFirstColumn="0" w:firstRowLastColumn="0" w:lastRowFirstColumn="0" w:lastRowLastColumn="0"/>
            </w:pPr>
          </w:p>
        </w:tc>
      </w:tr>
      <w:tr w:rsidR="00F10B38" w14:paraId="3F5F2199"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0FB94D3B" w14:textId="4A7F1B9B" w:rsidR="00F10B38" w:rsidRPr="00FF62ED" w:rsidRDefault="4F3C1658" w:rsidP="00FF62ED">
            <w:pPr>
              <w:pStyle w:val="ListParagraph"/>
              <w:numPr>
                <w:ilvl w:val="0"/>
                <w:numId w:val="49"/>
              </w:numPr>
              <w:ind w:left="162" w:hanging="270"/>
              <w:rPr>
                <w:b w:val="0"/>
                <w:bCs w:val="0"/>
              </w:rPr>
            </w:pPr>
            <w:r>
              <w:rPr>
                <w:b w:val="0"/>
                <w:bCs w:val="0"/>
              </w:rPr>
              <w:t>What metrics,</w:t>
            </w:r>
            <w:r w:rsidR="5F70B816">
              <w:rPr>
                <w:b w:val="0"/>
                <w:bCs w:val="0"/>
              </w:rPr>
              <w:t xml:space="preserve"> KPIs</w:t>
            </w:r>
            <w:r>
              <w:rPr>
                <w:b w:val="0"/>
                <w:bCs w:val="0"/>
              </w:rPr>
              <w:t>, and</w:t>
            </w:r>
            <w:r w:rsidR="5F70B816">
              <w:rPr>
                <w:b w:val="0"/>
                <w:bCs w:val="0"/>
              </w:rPr>
              <w:t xml:space="preserve"> </w:t>
            </w:r>
            <w:r>
              <w:rPr>
                <w:b w:val="0"/>
                <w:bCs w:val="0"/>
              </w:rPr>
              <w:t>/</w:t>
            </w:r>
            <w:r w:rsidR="5F70B816">
              <w:rPr>
                <w:b w:val="0"/>
                <w:bCs w:val="0"/>
              </w:rPr>
              <w:t xml:space="preserve"> </w:t>
            </w:r>
            <w:r>
              <w:rPr>
                <w:b w:val="0"/>
                <w:bCs w:val="0"/>
              </w:rPr>
              <w:t>or evaluation strategies best ensure any approved financing offerings align with the nine goals of the Commission’s Environmental and Social Justice (ESJ) Action Plan?</w:t>
            </w:r>
          </w:p>
        </w:tc>
        <w:tc>
          <w:tcPr>
            <w:tcW w:w="3055" w:type="dxa"/>
          </w:tcPr>
          <w:p w14:paraId="52D48E2C" w14:textId="77777777" w:rsidR="00F10B38" w:rsidRDefault="00F10B38" w:rsidP="00E8373A">
            <w:pPr>
              <w:cnfStyle w:val="000000000000" w:firstRow="0" w:lastRow="0" w:firstColumn="0" w:lastColumn="0" w:oddVBand="0" w:evenVBand="0" w:oddHBand="0" w:evenHBand="0" w:firstRowFirstColumn="0" w:firstRowLastColumn="0" w:lastRowFirstColumn="0" w:lastRowLastColumn="0"/>
            </w:pPr>
          </w:p>
        </w:tc>
      </w:tr>
      <w:tr w:rsidR="00DA22F6" w14:paraId="169A007A"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vAlign w:val="center"/>
          </w:tcPr>
          <w:p w14:paraId="6443C2EE" w14:textId="6443D6EA" w:rsidR="00DA22F6" w:rsidRDefault="00DA22F6" w:rsidP="00FF62ED">
            <w:pPr>
              <w:jc w:val="center"/>
            </w:pPr>
            <w:r w:rsidRPr="00DA22F6">
              <w:t>Topic 3: Designing Scalable Financing Options</w:t>
            </w:r>
          </w:p>
        </w:tc>
      </w:tr>
      <w:tr w:rsidR="00F10B38" w14:paraId="0D87AF9F"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327E0419" w14:textId="5CB794FC" w:rsidR="00F10B38" w:rsidRPr="00FF62ED" w:rsidRDefault="07791145" w:rsidP="00FF62ED">
            <w:pPr>
              <w:pStyle w:val="ListParagraph"/>
              <w:numPr>
                <w:ilvl w:val="0"/>
                <w:numId w:val="50"/>
              </w:numPr>
              <w:ind w:left="162" w:hanging="270"/>
              <w:rPr>
                <w:b w:val="0"/>
                <w:bCs w:val="0"/>
              </w:rPr>
            </w:pPr>
            <w:r>
              <w:rPr>
                <w:b w:val="0"/>
                <w:bCs w:val="0"/>
              </w:rPr>
              <w:t xml:space="preserve">Which specific types of </w:t>
            </w:r>
            <w:r w:rsidR="5F70B816">
              <w:rPr>
                <w:b w:val="0"/>
                <w:bCs w:val="0"/>
              </w:rPr>
              <w:t>C</w:t>
            </w:r>
            <w:r>
              <w:rPr>
                <w:b w:val="0"/>
                <w:bCs w:val="0"/>
              </w:rPr>
              <w:t>ustomer-side clean</w:t>
            </w:r>
            <w:r w:rsidR="5F70B816">
              <w:rPr>
                <w:b w:val="0"/>
                <w:bCs w:val="0"/>
              </w:rPr>
              <w:t>-</w:t>
            </w:r>
            <w:r>
              <w:rPr>
                <w:b w:val="0"/>
                <w:bCs w:val="0"/>
              </w:rPr>
              <w:t>energy financing programs or lending mechanisms are most likely to attract third-party vendors and program administrators, and what advantages and disadvantages would these financing programs provide in comparison to programs or lending mechanisms administered by existing administrators, the IOUs, or other implementers?</w:t>
            </w:r>
          </w:p>
        </w:tc>
        <w:tc>
          <w:tcPr>
            <w:tcW w:w="3055" w:type="dxa"/>
          </w:tcPr>
          <w:p w14:paraId="276FF7F1" w14:textId="77777777" w:rsidR="00F10B38" w:rsidRDefault="00F10B38" w:rsidP="00E8373A">
            <w:pPr>
              <w:cnfStyle w:val="000000000000" w:firstRow="0" w:lastRow="0" w:firstColumn="0" w:lastColumn="0" w:oddVBand="0" w:evenVBand="0" w:oddHBand="0" w:evenHBand="0" w:firstRowFirstColumn="0" w:firstRowLastColumn="0" w:lastRowFirstColumn="0" w:lastRowLastColumn="0"/>
            </w:pPr>
          </w:p>
        </w:tc>
      </w:tr>
      <w:tr w:rsidR="00F10B38" w14:paraId="5B96400D"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Pr>
          <w:p w14:paraId="29691CC9" w14:textId="7D1526C7" w:rsidR="00F10B38" w:rsidRPr="00FF62ED" w:rsidRDefault="45AA41D5" w:rsidP="00FF62ED">
            <w:pPr>
              <w:pStyle w:val="ListParagraph"/>
              <w:numPr>
                <w:ilvl w:val="0"/>
                <w:numId w:val="50"/>
              </w:numPr>
              <w:ind w:left="162" w:hanging="270"/>
              <w:rPr>
                <w:b w:val="0"/>
                <w:bCs w:val="0"/>
              </w:rPr>
            </w:pPr>
            <w:r>
              <w:rPr>
                <w:b w:val="0"/>
                <w:bCs w:val="0"/>
              </w:rPr>
              <w:t xml:space="preserve">How can on-bill repayment mechanisms be </w:t>
            </w:r>
            <w:r w:rsidR="6D465F98">
              <w:rPr>
                <w:b w:val="0"/>
                <w:bCs w:val="0"/>
              </w:rPr>
              <w:t>used</w:t>
            </w:r>
            <w:r>
              <w:rPr>
                <w:b w:val="0"/>
                <w:bCs w:val="0"/>
              </w:rPr>
              <w:t xml:space="preserve"> to repay multiple lenders</w:t>
            </w:r>
            <w:r w:rsidR="6D465F98">
              <w:rPr>
                <w:b w:val="0"/>
                <w:bCs w:val="0"/>
              </w:rPr>
              <w:t>,</w:t>
            </w:r>
            <w:r>
              <w:rPr>
                <w:b w:val="0"/>
                <w:bCs w:val="0"/>
              </w:rPr>
              <w:t xml:space="preserve"> without putting a </w:t>
            </w:r>
            <w:r w:rsidR="6D465F98">
              <w:rPr>
                <w:b w:val="0"/>
                <w:bCs w:val="0"/>
              </w:rPr>
              <w:t>C</w:t>
            </w:r>
            <w:r>
              <w:rPr>
                <w:b w:val="0"/>
                <w:bCs w:val="0"/>
              </w:rPr>
              <w:t xml:space="preserve">ustomer at risk of </w:t>
            </w:r>
            <w:r w:rsidR="6D465F98">
              <w:rPr>
                <w:b w:val="0"/>
                <w:bCs w:val="0"/>
              </w:rPr>
              <w:t>U</w:t>
            </w:r>
            <w:r>
              <w:rPr>
                <w:b w:val="0"/>
                <w:bCs w:val="0"/>
              </w:rPr>
              <w:t>tility disconnection if they are unable to make loan payments?</w:t>
            </w:r>
          </w:p>
        </w:tc>
        <w:tc>
          <w:tcPr>
            <w:tcW w:w="3055" w:type="dxa"/>
          </w:tcPr>
          <w:p w14:paraId="4082236F" w14:textId="77777777" w:rsidR="00F10B38" w:rsidRDefault="00F10B38" w:rsidP="00E8373A">
            <w:pPr>
              <w:cnfStyle w:val="000000100000" w:firstRow="0" w:lastRow="0" w:firstColumn="0" w:lastColumn="0" w:oddVBand="0" w:evenVBand="0" w:oddHBand="1" w:evenHBand="0" w:firstRowFirstColumn="0" w:firstRowLastColumn="0" w:lastRowFirstColumn="0" w:lastRowLastColumn="0"/>
            </w:pPr>
          </w:p>
        </w:tc>
      </w:tr>
      <w:tr w:rsidR="00F10B38" w14:paraId="52F8EE4C"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2E240DB0" w14:textId="35765C99" w:rsidR="00F10B38" w:rsidRPr="00FF62ED" w:rsidRDefault="60D3B623" w:rsidP="00FF62ED">
            <w:pPr>
              <w:pStyle w:val="ListParagraph"/>
              <w:numPr>
                <w:ilvl w:val="0"/>
                <w:numId w:val="50"/>
              </w:numPr>
              <w:ind w:left="162" w:hanging="270"/>
              <w:rPr>
                <w:b w:val="0"/>
                <w:bCs w:val="0"/>
              </w:rPr>
            </w:pPr>
            <w:r>
              <w:rPr>
                <w:b w:val="0"/>
                <w:bCs w:val="0"/>
              </w:rPr>
              <w:t xml:space="preserve">How can </w:t>
            </w:r>
            <w:r w:rsidR="6D465F98">
              <w:rPr>
                <w:b w:val="0"/>
                <w:bCs w:val="0"/>
              </w:rPr>
              <w:t xml:space="preserve">[Program Sponsor] </w:t>
            </w:r>
            <w:r>
              <w:rPr>
                <w:b w:val="0"/>
                <w:bCs w:val="0"/>
              </w:rPr>
              <w:t>deploy outreach to ensure consumers considering clean</w:t>
            </w:r>
            <w:r w:rsidR="6D465F98">
              <w:rPr>
                <w:b w:val="0"/>
                <w:bCs w:val="0"/>
              </w:rPr>
              <w:t>-</w:t>
            </w:r>
            <w:r>
              <w:rPr>
                <w:b w:val="0"/>
                <w:bCs w:val="0"/>
              </w:rPr>
              <w:t>energy financing are aware of their</w:t>
            </w:r>
            <w:r w:rsidR="29BC2D46">
              <w:rPr>
                <w:b w:val="0"/>
                <w:bCs w:val="0"/>
              </w:rPr>
              <w:t xml:space="preserve"> rights and the pros and cons of the various available financing options?</w:t>
            </w:r>
          </w:p>
        </w:tc>
        <w:tc>
          <w:tcPr>
            <w:tcW w:w="3055" w:type="dxa"/>
          </w:tcPr>
          <w:p w14:paraId="382DE00C" w14:textId="77777777" w:rsidR="00F10B38" w:rsidRDefault="00F10B38" w:rsidP="00E8373A">
            <w:pPr>
              <w:cnfStyle w:val="000000000000" w:firstRow="0" w:lastRow="0" w:firstColumn="0" w:lastColumn="0" w:oddVBand="0" w:evenVBand="0" w:oddHBand="0" w:evenHBand="0" w:firstRowFirstColumn="0" w:firstRowLastColumn="0" w:lastRowFirstColumn="0" w:lastRowLastColumn="0"/>
            </w:pPr>
          </w:p>
        </w:tc>
      </w:tr>
      <w:tr w:rsidR="00F10B38" w14:paraId="65D341E9"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Pr>
          <w:p w14:paraId="32DAAD75" w14:textId="6BB0ADD5" w:rsidR="00F10B38" w:rsidRPr="00FF62ED" w:rsidRDefault="29BC2D46" w:rsidP="00FF62ED">
            <w:pPr>
              <w:pStyle w:val="ListParagraph"/>
              <w:numPr>
                <w:ilvl w:val="0"/>
                <w:numId w:val="50"/>
              </w:numPr>
              <w:ind w:left="162" w:hanging="270"/>
              <w:rPr>
                <w:b w:val="0"/>
                <w:bCs w:val="0"/>
              </w:rPr>
            </w:pPr>
            <w:r>
              <w:rPr>
                <w:b w:val="0"/>
                <w:bCs w:val="0"/>
              </w:rPr>
              <w:t xml:space="preserve">Which financing and consumer protection mechanisms best protect </w:t>
            </w:r>
            <w:r w:rsidR="6D465F98">
              <w:rPr>
                <w:b w:val="0"/>
                <w:bCs w:val="0"/>
              </w:rPr>
              <w:t>C</w:t>
            </w:r>
            <w:r>
              <w:rPr>
                <w:b w:val="0"/>
                <w:bCs w:val="0"/>
              </w:rPr>
              <w:t>ustomers from potential disconnection, interruption of service, loss of lease or mortgage, or liens, in instances of non-payment of utility bills?</w:t>
            </w:r>
          </w:p>
        </w:tc>
        <w:tc>
          <w:tcPr>
            <w:tcW w:w="3055" w:type="dxa"/>
          </w:tcPr>
          <w:p w14:paraId="0A3D1ECD" w14:textId="77777777" w:rsidR="00F10B38" w:rsidRDefault="00F10B38" w:rsidP="00E8373A">
            <w:pPr>
              <w:cnfStyle w:val="000000100000" w:firstRow="0" w:lastRow="0" w:firstColumn="0" w:lastColumn="0" w:oddVBand="0" w:evenVBand="0" w:oddHBand="1" w:evenHBand="0" w:firstRowFirstColumn="0" w:firstRowLastColumn="0" w:lastRowFirstColumn="0" w:lastRowLastColumn="0"/>
            </w:pPr>
          </w:p>
        </w:tc>
      </w:tr>
      <w:tr w:rsidR="00F10B38" w14:paraId="18D1A208"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7494849F" w14:textId="4E84FA13" w:rsidR="00F10B38" w:rsidRPr="00FF62ED" w:rsidRDefault="22965C16" w:rsidP="00FF62ED">
            <w:pPr>
              <w:pStyle w:val="ListParagraph"/>
              <w:numPr>
                <w:ilvl w:val="0"/>
                <w:numId w:val="50"/>
              </w:numPr>
              <w:ind w:left="162" w:hanging="270"/>
              <w:rPr>
                <w:b w:val="0"/>
                <w:bCs w:val="0"/>
              </w:rPr>
            </w:pPr>
            <w:r>
              <w:rPr>
                <w:b w:val="0"/>
                <w:bCs w:val="0"/>
              </w:rPr>
              <w:t>Should any existing cost</w:t>
            </w:r>
            <w:r w:rsidR="6D465F98">
              <w:rPr>
                <w:b w:val="0"/>
                <w:bCs w:val="0"/>
              </w:rPr>
              <w:t>-</w:t>
            </w:r>
            <w:r>
              <w:rPr>
                <w:b w:val="0"/>
                <w:bCs w:val="0"/>
              </w:rPr>
              <w:t>effectiveness thresholds apply to new energy financing programs, or should energy financing programs be treated differently from energy efficiency financing programs</w:t>
            </w:r>
            <w:r w:rsidR="6D465F98">
              <w:rPr>
                <w:b w:val="0"/>
                <w:bCs w:val="0"/>
              </w:rPr>
              <w:t>,</w:t>
            </w:r>
            <w:r>
              <w:rPr>
                <w:b w:val="0"/>
                <w:bCs w:val="0"/>
              </w:rPr>
              <w:t xml:space="preserve"> in terms of their cost effectiveness?</w:t>
            </w:r>
          </w:p>
        </w:tc>
        <w:tc>
          <w:tcPr>
            <w:tcW w:w="3055" w:type="dxa"/>
          </w:tcPr>
          <w:p w14:paraId="00B0C712" w14:textId="77777777" w:rsidR="00F10B38" w:rsidRDefault="00F10B38" w:rsidP="00E8373A">
            <w:pPr>
              <w:cnfStyle w:val="000000000000" w:firstRow="0" w:lastRow="0" w:firstColumn="0" w:lastColumn="0" w:oddVBand="0" w:evenVBand="0" w:oddHBand="0" w:evenHBand="0" w:firstRowFirstColumn="0" w:firstRowLastColumn="0" w:lastRowFirstColumn="0" w:lastRowLastColumn="0"/>
            </w:pPr>
          </w:p>
        </w:tc>
      </w:tr>
      <w:tr w:rsidR="003C7171" w14:paraId="31379F08"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vAlign w:val="center"/>
          </w:tcPr>
          <w:p w14:paraId="0D487EDD" w14:textId="0FC7926D" w:rsidR="003C7171" w:rsidRDefault="151CB274" w:rsidP="00FF62ED">
            <w:pPr>
              <w:jc w:val="center"/>
            </w:pPr>
            <w:r>
              <w:t xml:space="preserve">Topic 4: Alignment </w:t>
            </w:r>
            <w:r w:rsidR="6D465F98">
              <w:t>w</w:t>
            </w:r>
            <w:r>
              <w:t>ith Other Programs Already Offered by the IOUs, The California Treasurer’s Office, The State’s Infrastructure and Economic Development Bank, and Other Local and Regional Clean Energy Financing Options</w:t>
            </w:r>
          </w:p>
        </w:tc>
      </w:tr>
      <w:tr w:rsidR="005672CA" w14:paraId="3476EE14"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3DDCB8F8" w14:textId="6DC02E44" w:rsidR="005672CA" w:rsidRPr="005672CA" w:rsidRDefault="2D000EE0" w:rsidP="00FF62ED">
            <w:pPr>
              <w:pStyle w:val="ListParagraph"/>
              <w:numPr>
                <w:ilvl w:val="0"/>
                <w:numId w:val="51"/>
              </w:numPr>
              <w:ind w:left="162" w:hanging="270"/>
              <w:rPr>
                <w:b w:val="0"/>
                <w:bCs w:val="0"/>
              </w:rPr>
            </w:pPr>
            <w:r>
              <w:rPr>
                <w:b w:val="0"/>
                <w:bCs w:val="0"/>
              </w:rPr>
              <w:t>How can new IOU financing programs be designed to</w:t>
            </w:r>
            <w:r>
              <w:t xml:space="preserve"> </w:t>
            </w:r>
            <w:r>
              <w:rPr>
                <w:b w:val="0"/>
                <w:bCs w:val="0"/>
              </w:rPr>
              <w:t>address technology gaps for comprehensive customer</w:t>
            </w:r>
            <w:r>
              <w:t xml:space="preserve"> </w:t>
            </w:r>
            <w:r>
              <w:rPr>
                <w:b w:val="0"/>
                <w:bCs w:val="0"/>
              </w:rPr>
              <w:t xml:space="preserve">financing packages and to better leverage existing </w:t>
            </w:r>
            <w:r w:rsidR="6D465F98">
              <w:rPr>
                <w:b w:val="0"/>
                <w:bCs w:val="0"/>
              </w:rPr>
              <w:t>S</w:t>
            </w:r>
            <w:r>
              <w:rPr>
                <w:b w:val="0"/>
                <w:bCs w:val="0"/>
              </w:rPr>
              <w:t>tate,</w:t>
            </w:r>
            <w:r>
              <w:t xml:space="preserve"> </w:t>
            </w:r>
            <w:r>
              <w:rPr>
                <w:b w:val="0"/>
                <w:bCs w:val="0"/>
              </w:rPr>
              <w:t>regional, and local clean</w:t>
            </w:r>
            <w:r w:rsidR="6D465F98">
              <w:rPr>
                <w:b w:val="0"/>
                <w:bCs w:val="0"/>
              </w:rPr>
              <w:t>-</w:t>
            </w:r>
            <w:r>
              <w:rPr>
                <w:b w:val="0"/>
                <w:bCs w:val="0"/>
              </w:rPr>
              <w:t>energy investment programs with both ratepayer and non-ratepayer funds?</w:t>
            </w:r>
          </w:p>
        </w:tc>
        <w:tc>
          <w:tcPr>
            <w:tcW w:w="3055" w:type="dxa"/>
          </w:tcPr>
          <w:p w14:paraId="57B0CB5F" w14:textId="77777777" w:rsidR="005672CA" w:rsidRDefault="005672CA" w:rsidP="00E8373A">
            <w:pPr>
              <w:cnfStyle w:val="000000000000" w:firstRow="0" w:lastRow="0" w:firstColumn="0" w:lastColumn="0" w:oddVBand="0" w:evenVBand="0" w:oddHBand="0" w:evenHBand="0" w:firstRowFirstColumn="0" w:firstRowLastColumn="0" w:lastRowFirstColumn="0" w:lastRowLastColumn="0"/>
            </w:pPr>
          </w:p>
        </w:tc>
      </w:tr>
      <w:tr w:rsidR="005672CA" w14:paraId="04BB1946"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Pr>
          <w:p w14:paraId="519844B0" w14:textId="35A75563" w:rsidR="005672CA" w:rsidRPr="005672CA" w:rsidRDefault="2D000EE0" w:rsidP="00FF62ED">
            <w:pPr>
              <w:pStyle w:val="ListParagraph"/>
              <w:numPr>
                <w:ilvl w:val="0"/>
                <w:numId w:val="51"/>
              </w:numPr>
              <w:ind w:left="162" w:hanging="270"/>
              <w:rPr>
                <w:b w:val="0"/>
                <w:bCs w:val="0"/>
              </w:rPr>
            </w:pPr>
            <w:r>
              <w:rPr>
                <w:b w:val="0"/>
                <w:bCs w:val="0"/>
              </w:rPr>
              <w:t>What metrics or parameters should be included to ensure</w:t>
            </w:r>
            <w:r>
              <w:t xml:space="preserve"> </w:t>
            </w:r>
            <w:r>
              <w:rPr>
                <w:b w:val="0"/>
                <w:bCs w:val="0"/>
              </w:rPr>
              <w:t>new financing options directly align with local and</w:t>
            </w:r>
            <w:r>
              <w:t xml:space="preserve"> </w:t>
            </w:r>
            <w:r>
              <w:rPr>
                <w:b w:val="0"/>
                <w:bCs w:val="0"/>
              </w:rPr>
              <w:t>regional clean</w:t>
            </w:r>
            <w:r w:rsidR="55FAA5A0">
              <w:rPr>
                <w:b w:val="0"/>
                <w:bCs w:val="0"/>
              </w:rPr>
              <w:t>-</w:t>
            </w:r>
            <w:r>
              <w:rPr>
                <w:b w:val="0"/>
                <w:bCs w:val="0"/>
              </w:rPr>
              <w:t>energy targets, including those set by tribal governments?</w:t>
            </w:r>
          </w:p>
        </w:tc>
        <w:tc>
          <w:tcPr>
            <w:tcW w:w="3055" w:type="dxa"/>
          </w:tcPr>
          <w:p w14:paraId="59900275" w14:textId="77777777" w:rsidR="005672CA" w:rsidRDefault="005672CA" w:rsidP="00E8373A">
            <w:pPr>
              <w:cnfStyle w:val="000000100000" w:firstRow="0" w:lastRow="0" w:firstColumn="0" w:lastColumn="0" w:oddVBand="0" w:evenVBand="0" w:oddHBand="1" w:evenHBand="0" w:firstRowFirstColumn="0" w:firstRowLastColumn="0" w:lastRowFirstColumn="0" w:lastRowLastColumn="0"/>
            </w:pPr>
          </w:p>
        </w:tc>
      </w:tr>
      <w:tr w:rsidR="005672CA" w14:paraId="1148B102"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18C552F2" w14:textId="7DA85F5F" w:rsidR="005672CA" w:rsidRPr="005672CA" w:rsidRDefault="021E27E6" w:rsidP="00FF62ED">
            <w:pPr>
              <w:pStyle w:val="ListParagraph"/>
              <w:numPr>
                <w:ilvl w:val="0"/>
                <w:numId w:val="51"/>
              </w:numPr>
              <w:ind w:left="162" w:hanging="270"/>
              <w:rPr>
                <w:b w:val="0"/>
                <w:bCs w:val="0"/>
              </w:rPr>
            </w:pPr>
            <w:r>
              <w:rPr>
                <w:b w:val="0"/>
                <w:bCs w:val="0"/>
              </w:rPr>
              <w:t xml:space="preserve">How can </w:t>
            </w:r>
            <w:r w:rsidR="55FAA5A0">
              <w:rPr>
                <w:b w:val="0"/>
                <w:bCs w:val="0"/>
              </w:rPr>
              <w:t>[Program Sponsor] use</w:t>
            </w:r>
            <w:r>
              <w:rPr>
                <w:b w:val="0"/>
                <w:bCs w:val="0"/>
              </w:rPr>
              <w:t xml:space="preserve"> the expertise of sister agencies such as the Department of Financial Protection and Innovation (</w:t>
            </w:r>
            <w:r w:rsidR="222C1842">
              <w:rPr>
                <w:b w:val="0"/>
                <w:bCs w:val="0"/>
              </w:rPr>
              <w:t>DFPI) to both develop and scale new financing options and protect consumers' rights?</w:t>
            </w:r>
          </w:p>
        </w:tc>
        <w:tc>
          <w:tcPr>
            <w:tcW w:w="3055" w:type="dxa"/>
          </w:tcPr>
          <w:p w14:paraId="650BD073" w14:textId="77777777" w:rsidR="005672CA" w:rsidRDefault="005672CA" w:rsidP="00E8373A">
            <w:pPr>
              <w:cnfStyle w:val="000000000000" w:firstRow="0" w:lastRow="0" w:firstColumn="0" w:lastColumn="0" w:oddVBand="0" w:evenVBand="0" w:oddHBand="0" w:evenHBand="0" w:firstRowFirstColumn="0" w:firstRowLastColumn="0" w:lastRowFirstColumn="0" w:lastRowLastColumn="0"/>
            </w:pPr>
          </w:p>
        </w:tc>
      </w:tr>
      <w:tr w:rsidR="004C6FC6" w14:paraId="4C858682"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vAlign w:val="center"/>
          </w:tcPr>
          <w:p w14:paraId="2AD51B50" w14:textId="5CD28717" w:rsidR="004C6FC6" w:rsidRDefault="004C6FC6" w:rsidP="00FF62ED">
            <w:pPr>
              <w:jc w:val="center"/>
            </w:pPr>
            <w:r w:rsidRPr="004C6FC6">
              <w:t>Topic 5: Rate Impacts of New Financing Programs</w:t>
            </w:r>
          </w:p>
        </w:tc>
      </w:tr>
      <w:tr w:rsidR="005672CA" w14:paraId="2F975003"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3CB9493F" w14:textId="30280DD3" w:rsidR="005672CA" w:rsidRPr="005672CA" w:rsidRDefault="301FCB9D" w:rsidP="00FF62ED">
            <w:pPr>
              <w:pStyle w:val="ListParagraph"/>
              <w:numPr>
                <w:ilvl w:val="0"/>
                <w:numId w:val="52"/>
              </w:numPr>
              <w:ind w:left="162" w:hanging="270"/>
              <w:rPr>
                <w:b w:val="0"/>
                <w:bCs w:val="0"/>
              </w:rPr>
            </w:pPr>
            <w:r>
              <w:rPr>
                <w:b w:val="0"/>
                <w:bCs w:val="0"/>
              </w:rPr>
              <w:t>What are the comparative potential customer rate impacts</w:t>
            </w:r>
            <w:r>
              <w:t xml:space="preserve"> </w:t>
            </w:r>
            <w:r>
              <w:rPr>
                <w:b w:val="0"/>
                <w:bCs w:val="0"/>
              </w:rPr>
              <w:t xml:space="preserve">of </w:t>
            </w:r>
            <w:r w:rsidR="55FAA5A0">
              <w:rPr>
                <w:b w:val="0"/>
                <w:bCs w:val="0"/>
              </w:rPr>
              <w:t xml:space="preserve">TOB </w:t>
            </w:r>
            <w:r>
              <w:rPr>
                <w:b w:val="0"/>
                <w:bCs w:val="0"/>
              </w:rPr>
              <w:t>finance, on-bill finance and</w:t>
            </w:r>
            <w:r>
              <w:t xml:space="preserve"> </w:t>
            </w:r>
            <w:r w:rsidR="55FAA5A0">
              <w:rPr>
                <w:b w:val="0"/>
                <w:bCs w:val="0"/>
              </w:rPr>
              <w:t>on-bill repayment,</w:t>
            </w:r>
            <w:r>
              <w:rPr>
                <w:b w:val="0"/>
                <w:bCs w:val="0"/>
              </w:rPr>
              <w:t xml:space="preserve"> and other </w:t>
            </w:r>
            <w:r w:rsidR="55FAA5A0">
              <w:rPr>
                <w:b w:val="0"/>
                <w:bCs w:val="0"/>
              </w:rPr>
              <w:t xml:space="preserve">possible </w:t>
            </w:r>
            <w:r>
              <w:rPr>
                <w:b w:val="0"/>
                <w:bCs w:val="0"/>
              </w:rPr>
              <w:t>financing programs, for both</w:t>
            </w:r>
            <w:r>
              <w:t xml:space="preserve"> </w:t>
            </w:r>
            <w:r>
              <w:rPr>
                <w:b w:val="0"/>
                <w:bCs w:val="0"/>
              </w:rPr>
              <w:t xml:space="preserve">participating and non-participating </w:t>
            </w:r>
            <w:r w:rsidR="55FAA5A0">
              <w:rPr>
                <w:b w:val="0"/>
                <w:bCs w:val="0"/>
              </w:rPr>
              <w:t>C</w:t>
            </w:r>
            <w:r>
              <w:rPr>
                <w:b w:val="0"/>
                <w:bCs w:val="0"/>
              </w:rPr>
              <w:t xml:space="preserve">ustomers, based on currently authorized </w:t>
            </w:r>
            <w:r w:rsidR="55FAA5A0">
              <w:rPr>
                <w:b w:val="0"/>
                <w:bCs w:val="0"/>
              </w:rPr>
              <w:t>U</w:t>
            </w:r>
            <w:r>
              <w:rPr>
                <w:b w:val="0"/>
                <w:bCs w:val="0"/>
              </w:rPr>
              <w:t>tility rate recovery designs?</w:t>
            </w:r>
          </w:p>
        </w:tc>
        <w:tc>
          <w:tcPr>
            <w:tcW w:w="3055" w:type="dxa"/>
          </w:tcPr>
          <w:p w14:paraId="2B3BC8E9" w14:textId="77777777" w:rsidR="005672CA" w:rsidRDefault="005672CA" w:rsidP="00E8373A">
            <w:pPr>
              <w:cnfStyle w:val="000000000000" w:firstRow="0" w:lastRow="0" w:firstColumn="0" w:lastColumn="0" w:oddVBand="0" w:evenVBand="0" w:oddHBand="0" w:evenHBand="0" w:firstRowFirstColumn="0" w:firstRowLastColumn="0" w:lastRowFirstColumn="0" w:lastRowLastColumn="0"/>
            </w:pPr>
          </w:p>
        </w:tc>
      </w:tr>
      <w:tr w:rsidR="005672CA" w14:paraId="65D02CF8" w14:textId="77777777" w:rsidTr="727BF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5" w:type="dxa"/>
          </w:tcPr>
          <w:p w14:paraId="5AE553DC" w14:textId="2CF3C940" w:rsidR="005672CA" w:rsidRPr="005672CA" w:rsidRDefault="001E493A" w:rsidP="00FF62ED">
            <w:pPr>
              <w:pStyle w:val="ListParagraph"/>
              <w:numPr>
                <w:ilvl w:val="0"/>
                <w:numId w:val="52"/>
              </w:numPr>
              <w:ind w:left="162" w:hanging="270"/>
              <w:rPr>
                <w:b w:val="0"/>
              </w:rPr>
            </w:pPr>
            <w:r w:rsidRPr="001E493A">
              <w:rPr>
                <w:b w:val="0"/>
              </w:rPr>
              <w:t>What metrics should be tracked to quantify the potential</w:t>
            </w:r>
            <w:r w:rsidRPr="001E493A">
              <w:t xml:space="preserve"> </w:t>
            </w:r>
            <w:r w:rsidRPr="001E493A">
              <w:rPr>
                <w:b w:val="0"/>
              </w:rPr>
              <w:t>cost shift between participating and non-participating</w:t>
            </w:r>
            <w:r>
              <w:rPr>
                <w:b w:val="0"/>
              </w:rPr>
              <w:t xml:space="preserve"> </w:t>
            </w:r>
            <w:r w:rsidRPr="001E493A">
              <w:rPr>
                <w:b w:val="0"/>
              </w:rPr>
              <w:t>customers?</w:t>
            </w:r>
          </w:p>
        </w:tc>
        <w:tc>
          <w:tcPr>
            <w:tcW w:w="3055" w:type="dxa"/>
          </w:tcPr>
          <w:p w14:paraId="2ACF17C8" w14:textId="77777777" w:rsidR="005672CA" w:rsidRDefault="005672CA" w:rsidP="00E8373A">
            <w:pPr>
              <w:cnfStyle w:val="000000100000" w:firstRow="0" w:lastRow="0" w:firstColumn="0" w:lastColumn="0" w:oddVBand="0" w:evenVBand="0" w:oddHBand="1" w:evenHBand="0" w:firstRowFirstColumn="0" w:firstRowLastColumn="0" w:lastRowFirstColumn="0" w:lastRowLastColumn="0"/>
            </w:pPr>
          </w:p>
        </w:tc>
      </w:tr>
      <w:tr w:rsidR="005672CA" w14:paraId="536025CF" w14:textId="77777777" w:rsidTr="727BFE15">
        <w:tc>
          <w:tcPr>
            <w:cnfStyle w:val="001000000000" w:firstRow="0" w:lastRow="0" w:firstColumn="1" w:lastColumn="0" w:oddVBand="0" w:evenVBand="0" w:oddHBand="0" w:evenHBand="0" w:firstRowFirstColumn="0" w:firstRowLastColumn="0" w:lastRowFirstColumn="0" w:lastRowLastColumn="0"/>
            <w:tcW w:w="6295" w:type="dxa"/>
          </w:tcPr>
          <w:p w14:paraId="7E5A13B6" w14:textId="11F89805" w:rsidR="005672CA" w:rsidRPr="005672CA" w:rsidRDefault="7D9A234E" w:rsidP="00FF62ED">
            <w:pPr>
              <w:pStyle w:val="ListParagraph"/>
              <w:numPr>
                <w:ilvl w:val="0"/>
                <w:numId w:val="52"/>
              </w:numPr>
              <w:ind w:left="162" w:hanging="270"/>
              <w:rPr>
                <w:b w:val="0"/>
                <w:bCs w:val="0"/>
              </w:rPr>
            </w:pPr>
            <w:r>
              <w:rPr>
                <w:b w:val="0"/>
                <w:bCs w:val="0"/>
              </w:rPr>
              <w:t>Should the IOUs be authorized to hire additional full-time</w:t>
            </w:r>
            <w:r>
              <w:t xml:space="preserve"> </w:t>
            </w:r>
            <w:r>
              <w:rPr>
                <w:b w:val="0"/>
                <w:bCs w:val="0"/>
              </w:rPr>
              <w:t xml:space="preserve">staff to better target and engage underserved </w:t>
            </w:r>
            <w:r w:rsidR="55FAA5A0">
              <w:rPr>
                <w:b w:val="0"/>
                <w:bCs w:val="0"/>
              </w:rPr>
              <w:t>C</w:t>
            </w:r>
            <w:r>
              <w:rPr>
                <w:b w:val="0"/>
                <w:bCs w:val="0"/>
              </w:rPr>
              <w:t>ustomers to participate in new financing programs?</w:t>
            </w:r>
          </w:p>
        </w:tc>
        <w:tc>
          <w:tcPr>
            <w:tcW w:w="3055" w:type="dxa"/>
          </w:tcPr>
          <w:p w14:paraId="60B3235A" w14:textId="77777777" w:rsidR="005672CA" w:rsidRDefault="005672CA" w:rsidP="00E8373A">
            <w:pPr>
              <w:cnfStyle w:val="000000000000" w:firstRow="0" w:lastRow="0" w:firstColumn="0" w:lastColumn="0" w:oddVBand="0" w:evenVBand="0" w:oddHBand="0" w:evenHBand="0" w:firstRowFirstColumn="0" w:firstRowLastColumn="0" w:lastRowFirstColumn="0" w:lastRowLastColumn="0"/>
            </w:pPr>
          </w:p>
        </w:tc>
      </w:tr>
    </w:tbl>
    <w:p w14:paraId="6AA68EDD" w14:textId="77777777" w:rsidR="00E8373A" w:rsidRPr="00E8373A" w:rsidRDefault="00E8373A" w:rsidP="00E8373A"/>
    <w:sectPr w:rsidR="00E8373A" w:rsidRPr="00E8373A" w:rsidSect="008231F1">
      <w:headerReference w:type="even" r:id="rId16"/>
      <w:headerReference w:type="default" r:id="rId17"/>
      <w:footerReference w:type="default" r:id="rId18"/>
      <w:headerReference w:type="first" r:id="rId19"/>
      <w:pgSz w:w="12240" w:h="15840"/>
      <w:pgMar w:top="1440" w:right="1440" w:bottom="864" w:left="1440" w:header="720" w:footer="648"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C7CCB" w14:textId="77777777" w:rsidR="00BB1668" w:rsidRDefault="00BB1668" w:rsidP="00F53126">
      <w:r>
        <w:separator/>
      </w:r>
    </w:p>
    <w:p w14:paraId="694C65F7" w14:textId="77777777" w:rsidR="00BB1668" w:rsidRDefault="00BB1668" w:rsidP="00F53126"/>
    <w:p w14:paraId="32F095FD" w14:textId="77777777" w:rsidR="00BB1668" w:rsidRDefault="00BB1668" w:rsidP="00F53126"/>
  </w:endnote>
  <w:endnote w:type="continuationSeparator" w:id="0">
    <w:p w14:paraId="4C1F3AAF" w14:textId="77777777" w:rsidR="00BB1668" w:rsidRDefault="00BB1668" w:rsidP="00F53126">
      <w:r>
        <w:continuationSeparator/>
      </w:r>
    </w:p>
    <w:p w14:paraId="651B1886" w14:textId="77777777" w:rsidR="00BB1668" w:rsidRDefault="00BB1668" w:rsidP="00F53126"/>
    <w:p w14:paraId="5B88BB6C" w14:textId="77777777" w:rsidR="00BB1668" w:rsidRDefault="00BB1668" w:rsidP="00F53126"/>
  </w:endnote>
  <w:endnote w:type="continuationNotice" w:id="1">
    <w:p w14:paraId="1C07E3CC" w14:textId="77777777" w:rsidR="00BB1668" w:rsidRDefault="00BB16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Lato">
    <w:altName w:val="Lato"/>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Light">
    <w:charset w:val="00"/>
    <w:family w:val="swiss"/>
    <w:pitch w:val="variable"/>
    <w:sig w:usb0="E10002FF" w:usb1="5000ECFF" w:usb2="00000021" w:usb3="00000000" w:csb0="0000019F" w:csb1="00000000"/>
  </w:font>
  <w:font w:name="HGSoeiPresenceEB">
    <w:altName w:val="HG創英ﾌﾟﾚｾﾞﾝｽEB"/>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7547" w14:textId="7798A29B" w:rsidR="00332C76" w:rsidRPr="00A7012F" w:rsidRDefault="00332C76" w:rsidP="00474BA4">
    <w:pPr>
      <w:pStyle w:val="Footer"/>
      <w:tabs>
        <w:tab w:val="clear" w:pos="9360"/>
        <w:tab w:val="left" w:pos="3655"/>
        <w:tab w:val="right" w:pos="9270"/>
        <w:tab w:val="right" w:pos="9864"/>
      </w:tabs>
      <w:jc w:val="left"/>
    </w:pPr>
    <w:r>
      <w:tab/>
    </w:r>
    <w:r w:rsidR="00474BA4">
      <w:tab/>
    </w:r>
    <w:r>
      <w:tab/>
    </w:r>
    <w:fldSimple w:instr="TITLE  \* Caps  \* MERGEFORMAT">
      <w:r w:rsidR="727BFE15">
        <w:t>TOB Guidance and Model Plan</w:t>
      </w:r>
    </w:fldSimple>
    <w:r w:rsidR="727BFE15" w:rsidRPr="00A7012F">
      <w:t xml:space="preserve">   </w:t>
    </w:r>
    <w:r w:rsidR="00D807E5" w:rsidRPr="00A7012F">
      <w:fldChar w:fldCharType="begin"/>
    </w:r>
    <w:r w:rsidR="00D807E5" w:rsidRPr="00A7012F">
      <w:instrText xml:space="preserve"> PAGE </w:instrText>
    </w:r>
    <w:r w:rsidR="00D807E5" w:rsidRPr="00A7012F">
      <w:fldChar w:fldCharType="separate"/>
    </w:r>
    <w:r w:rsidR="727BFE15">
      <w:t>B-1</w:t>
    </w:r>
    <w:r w:rsidR="00D807E5" w:rsidRPr="00A7012F">
      <w:fldChar w:fldCharType="end"/>
    </w:r>
  </w:p>
  <w:p w14:paraId="63281374" w14:textId="77777777" w:rsidR="0052619B" w:rsidRPr="00332C76" w:rsidRDefault="0052619B" w:rsidP="00332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E9F0A" w14:textId="77777777" w:rsidR="00BB1668" w:rsidRPr="00487309" w:rsidRDefault="00BB1668" w:rsidP="00487309">
      <w:pPr>
        <w:pBdr>
          <w:bottom w:val="single" w:sz="4" w:space="1" w:color="auto"/>
        </w:pBdr>
        <w:rPr>
          <w:sz w:val="8"/>
          <w:szCs w:val="10"/>
        </w:rPr>
      </w:pPr>
    </w:p>
  </w:footnote>
  <w:footnote w:type="continuationSeparator" w:id="0">
    <w:p w14:paraId="6A381651" w14:textId="77777777" w:rsidR="00BB1668" w:rsidRDefault="00BB1668" w:rsidP="00F53126">
      <w:r>
        <w:continuationSeparator/>
      </w:r>
    </w:p>
    <w:p w14:paraId="04BD0502" w14:textId="77777777" w:rsidR="00BB1668" w:rsidRDefault="00BB1668" w:rsidP="00F53126"/>
    <w:p w14:paraId="6275E090" w14:textId="77777777" w:rsidR="00BB1668" w:rsidRDefault="00BB1668" w:rsidP="00F53126"/>
  </w:footnote>
  <w:footnote w:type="continuationNotice" w:id="1">
    <w:p w14:paraId="07F7FE4B" w14:textId="77777777" w:rsidR="00BB1668" w:rsidRDefault="00BB1668">
      <w:pPr>
        <w:spacing w:before="0" w:after="0" w:line="240" w:lineRule="auto"/>
      </w:pPr>
    </w:p>
  </w:footnote>
  <w:footnote w:id="2">
    <w:p w14:paraId="6F7EDBBC" w14:textId="6032A46B" w:rsidR="0029513F" w:rsidRDefault="0029513F">
      <w:pPr>
        <w:pStyle w:val="FootnoteText"/>
      </w:pPr>
      <w:r>
        <w:rPr>
          <w:rStyle w:val="FootnoteReference"/>
        </w:rPr>
        <w:footnoteRef/>
      </w:r>
      <w:r w:rsidR="727BFE15">
        <w:t xml:space="preserve"> For detailed information on Proceeding R20-08-022, see </w:t>
      </w:r>
      <w:hyperlink r:id="rId1" w:history="1">
        <w:r w:rsidR="727BFE15" w:rsidRPr="005C3139">
          <w:rPr>
            <w:rStyle w:val="Hyperlink"/>
          </w:rPr>
          <w:t>https://apps.cpuc.ca.gov/apex/f?p=401:56:0::NO:RP,57,RIR:P5_PROCEEDING_SELECT:R2008022</w:t>
        </w:r>
      </w:hyperlink>
      <w:r w:rsidR="727BFE15">
        <w:rPr>
          <w:rStyle w:val="Hyperlink"/>
        </w:rPr>
        <w:t>.</w:t>
      </w:r>
      <w:r w:rsidR="727BFE15">
        <w:t xml:space="preserve"> </w:t>
      </w:r>
    </w:p>
  </w:footnote>
  <w:footnote w:id="3">
    <w:p w14:paraId="786650E1" w14:textId="77777777" w:rsidR="00E71B55" w:rsidRDefault="00E71B55" w:rsidP="00E71B55">
      <w:pPr>
        <w:pStyle w:val="FootnoteText"/>
      </w:pPr>
      <w:r>
        <w:rPr>
          <w:rStyle w:val="FootnoteReference"/>
        </w:rPr>
        <w:footnoteRef/>
      </w:r>
      <w:r w:rsidR="727BFE15">
        <w:t xml:space="preserve"> TECH Clean California is </w:t>
      </w:r>
      <w:r w:rsidR="727BFE15" w:rsidRPr="002E7E6B">
        <w:t xml:space="preserve">a statewide initiative </w:t>
      </w:r>
      <w:r w:rsidR="727BFE15">
        <w:t xml:space="preserve">to </w:t>
      </w:r>
      <w:r w:rsidR="727BFE15" w:rsidRPr="002E7E6B">
        <w:t xml:space="preserve">accelerate </w:t>
      </w:r>
      <w:r w:rsidR="727BFE15">
        <w:t xml:space="preserve">achievement of the State’s goal of achieving carbon neutrality by 2045. Specifically, it promotes the </w:t>
      </w:r>
      <w:r w:rsidR="727BFE15" w:rsidRPr="002E7E6B">
        <w:t>adoption of clean space and water heating technology across California</w:t>
      </w:r>
      <w:r w:rsidR="727BFE15">
        <w:t>’s single-family and multifamily</w:t>
      </w:r>
      <w:r w:rsidR="727BFE15" w:rsidRPr="002E7E6B">
        <w:t xml:space="preserve"> homes. </w:t>
      </w:r>
      <w:r w:rsidR="727BFE15">
        <w:t>Approximately 40 percent of program benefits are targeted for low-income and disadvantaged communities. It provides market incentives and workforce education and training to make it easier for distributors and contractors to stock, sell, and install low-emissions heat pump technology</w:t>
      </w:r>
      <w:r w:rsidR="727BFE15" w:rsidRPr="002E7E6B">
        <w:t>. TECH Clean California support</w:t>
      </w:r>
      <w:r w:rsidR="727BFE15">
        <w:t>s existing initiatives through matched incentive funding, and</w:t>
      </w:r>
      <w:r w:rsidR="727BFE15" w:rsidRPr="002E7E6B">
        <w:t xml:space="preserve"> extend</w:t>
      </w:r>
      <w:r w:rsidR="727BFE15">
        <w:t>s</w:t>
      </w:r>
      <w:r w:rsidR="727BFE15" w:rsidRPr="002E7E6B">
        <w:t xml:space="preserve"> incentives statewide</w:t>
      </w:r>
      <w:r w:rsidR="727BFE15">
        <w:t>. It was authorized under California Senate Bill 1477, and is funded by California natural gas ratepayers under the auspices of the California Public Utilities Commission.</w:t>
      </w:r>
    </w:p>
  </w:footnote>
  <w:footnote w:id="4">
    <w:p w14:paraId="704A9FBD" w14:textId="3FB82FB9" w:rsidR="00144D3C" w:rsidRDefault="00144D3C">
      <w:pPr>
        <w:pStyle w:val="FootnoteText"/>
      </w:pPr>
      <w:r>
        <w:rPr>
          <w:rStyle w:val="FootnoteReference"/>
        </w:rPr>
        <w:footnoteRef/>
      </w:r>
      <w:r w:rsidR="727BFE15">
        <w:t xml:space="preserve"> Documents relating to the Scoping Ruling can be found at </w:t>
      </w:r>
      <w:hyperlink r:id="rId2" w:history="1">
        <w:r w:rsidR="727BFE15" w:rsidRPr="005C3139">
          <w:rPr>
            <w:rStyle w:val="Hyperlink"/>
          </w:rPr>
          <w:t>https://docs.cpuc.ca.gov/SearchRes.aspx?DocFormat=ALL&amp;DocID=424114102</w:t>
        </w:r>
      </w:hyperlink>
      <w:r w:rsidR="727BFE15">
        <w:rPr>
          <w:rStyle w:val="Hyperlink"/>
        </w:rPr>
        <w:t>.</w:t>
      </w:r>
      <w:r w:rsidR="727BFE15">
        <w:t xml:space="preserve"> </w:t>
      </w:r>
    </w:p>
  </w:footnote>
  <w:footnote w:id="5">
    <w:p w14:paraId="69FE8F33" w14:textId="5359A17A" w:rsidR="00BA3E6B" w:rsidRDefault="00BA3E6B">
      <w:pPr>
        <w:pStyle w:val="FootnoteText"/>
      </w:pPr>
      <w:r>
        <w:rPr>
          <w:rStyle w:val="FootnoteReference"/>
        </w:rPr>
        <w:footnoteRef/>
      </w:r>
      <w:r>
        <w:t xml:space="preserve"> See </w:t>
      </w:r>
      <w:hyperlink r:id="rId3" w:history="1">
        <w:r w:rsidR="00C575B8" w:rsidRPr="004F1DC7">
          <w:rPr>
            <w:rStyle w:val="Hyperlink"/>
          </w:rPr>
          <w:t>https://docs.cpuc.ca.gov/SearchRes.aspx?DocFormat=ALL&amp;DocID=424114102</w:t>
        </w:r>
      </w:hyperlink>
    </w:p>
  </w:footnote>
  <w:footnote w:id="6">
    <w:p w14:paraId="69EC7CF2" w14:textId="74F0658E" w:rsidR="00355826" w:rsidRDefault="00355826">
      <w:pPr>
        <w:pStyle w:val="FootnoteText"/>
      </w:pPr>
      <w:r>
        <w:rPr>
          <w:rStyle w:val="FootnoteReference"/>
        </w:rPr>
        <w:footnoteRef/>
      </w:r>
      <w:r>
        <w:t xml:space="preserve"> </w:t>
      </w:r>
      <w:r w:rsidRPr="00355826">
        <w:t>As a matter of program practice, low-income customers should first be encouraged or required to maximize the benefits they can receive from grant-only direct install programs before making TOB investments.</w:t>
      </w:r>
    </w:p>
  </w:footnote>
  <w:footnote w:id="7">
    <w:p w14:paraId="69DDC8AA" w14:textId="4376DC72" w:rsidR="00683250" w:rsidRDefault="00683250">
      <w:pPr>
        <w:pStyle w:val="FootnoteText"/>
      </w:pPr>
      <w:r>
        <w:rPr>
          <w:rStyle w:val="FootnoteReference"/>
        </w:rPr>
        <w:footnoteRef/>
      </w:r>
      <w:r>
        <w:t xml:space="preserve"> See BDC White Paper</w:t>
      </w:r>
    </w:p>
  </w:footnote>
  <w:footnote w:id="8">
    <w:p w14:paraId="0C66E5AB" w14:textId="13D40FA8" w:rsidR="003136BC" w:rsidRDefault="003136BC">
      <w:pPr>
        <w:pStyle w:val="FootnoteText"/>
      </w:pPr>
      <w:r>
        <w:rPr>
          <w:rStyle w:val="FootnoteReference"/>
        </w:rPr>
        <w:footnoteRef/>
      </w:r>
      <w:r w:rsidR="727BFE15">
        <w:t xml:space="preserve"> </w:t>
      </w:r>
      <w:r w:rsidR="727BFE15" w:rsidRPr="00601923">
        <w:t>Evergreen Economics</w:t>
      </w:r>
      <w:r w:rsidR="727BFE15">
        <w:t>, 2016</w:t>
      </w:r>
      <w:r w:rsidR="727BFE15" w:rsidRPr="00601923">
        <w:t xml:space="preserve">. </w:t>
      </w:r>
      <w:r w:rsidR="727BFE15" w:rsidRPr="727BFE15">
        <w:rPr>
          <w:i/>
          <w:iCs/>
        </w:rPr>
        <w:t>Needs Assessment for the Energy Savings Assistance and the California Alternate Rates for Energy Programs</w:t>
      </w:r>
      <w:r w:rsidR="727BFE15" w:rsidRPr="00601923">
        <w:t xml:space="preserve">, Vol. 1 of 2. Southern California Edison Co., CALMAC ID: SCE0396.01. </w:t>
      </w:r>
      <w:hyperlink r:id="rId4" w:history="1">
        <w:r w:rsidR="727BFE15" w:rsidRPr="009827DC">
          <w:rPr>
            <w:rStyle w:val="Hyperlink"/>
          </w:rPr>
          <w:t>www.calmac.org</w:t>
        </w:r>
      </w:hyperlink>
    </w:p>
  </w:footnote>
  <w:footnote w:id="9">
    <w:p w14:paraId="37466F7A" w14:textId="387C6B27" w:rsidR="00891D88" w:rsidRPr="00D350F0" w:rsidRDefault="00891D88" w:rsidP="00891D88">
      <w:pPr>
        <w:pStyle w:val="FootnoteText"/>
      </w:pPr>
      <w:r>
        <w:rPr>
          <w:rStyle w:val="FootnoteReference"/>
        </w:rPr>
        <w:footnoteRef/>
      </w:r>
      <w:r w:rsidR="727BFE15">
        <w:t xml:space="preserve"> </w:t>
      </w:r>
      <w:r w:rsidR="727BFE15" w:rsidRPr="0002410D">
        <w:t>Sandoval, Gabriela, MRP, Ph.D., and Mark Toney, Ph.D.</w:t>
      </w:r>
      <w:r w:rsidR="727BFE15">
        <w:t>, 2018.</w:t>
      </w:r>
      <w:r w:rsidR="727BFE15" w:rsidRPr="0002410D">
        <w:t xml:space="preserve"> </w:t>
      </w:r>
      <w:r w:rsidR="727BFE15">
        <w:t>“</w:t>
      </w:r>
      <w:r w:rsidR="727BFE15" w:rsidRPr="0002410D">
        <w:t>Living Without Power: Health Impacts of Utility Shutoffs in California.</w:t>
      </w:r>
      <w:r w:rsidR="727BFE15">
        <w:t>”</w:t>
      </w:r>
      <w:r w:rsidR="727BFE15" w:rsidRPr="0002410D">
        <w:t xml:space="preserve"> The Utility Reform Network. </w:t>
      </w:r>
      <w:hyperlink r:id="rId5" w:history="1">
        <w:r w:rsidR="727BFE15" w:rsidRPr="009827DC">
          <w:rPr>
            <w:rStyle w:val="Hyperlink"/>
          </w:rPr>
          <w:t>http://www.turn.org/wp-content/uploads/2018/05/2018_TURN_Shut-Off-Report_FINAL.pdf</w:t>
        </w:r>
      </w:hyperlink>
      <w:r w:rsidR="727BFE15" w:rsidRPr="727BFE15">
        <w:rPr>
          <w:i/>
          <w:iCs/>
        </w:rPr>
        <w:t>,</w:t>
      </w:r>
      <w:r w:rsidR="727BFE15" w:rsidRPr="00D350F0">
        <w:t xml:space="preserve"> p. 18</w:t>
      </w:r>
      <w:r w:rsidR="727BFE15">
        <w:t>.</w:t>
      </w:r>
    </w:p>
  </w:footnote>
  <w:footnote w:id="10">
    <w:p w14:paraId="242F5CA9" w14:textId="1AC56370" w:rsidR="00891D88" w:rsidRPr="00D350F0" w:rsidRDefault="00891D88" w:rsidP="00891D88">
      <w:pPr>
        <w:pStyle w:val="FootnoteText"/>
      </w:pPr>
      <w:r w:rsidRPr="00D350F0">
        <w:rPr>
          <w:rStyle w:val="FootnoteReference"/>
        </w:rPr>
        <w:footnoteRef/>
      </w:r>
      <w:r w:rsidR="727BFE15" w:rsidRPr="00D350F0">
        <w:t xml:space="preserve"> </w:t>
      </w:r>
      <w:r w:rsidR="727BFE15" w:rsidRPr="00294A73">
        <w:t>Levy, Robert, and Joshua Sledge</w:t>
      </w:r>
      <w:r w:rsidR="727BFE15">
        <w:t>, 2012</w:t>
      </w:r>
      <w:r w:rsidR="727BFE15" w:rsidRPr="00294A73">
        <w:t xml:space="preserve">. </w:t>
      </w:r>
      <w:r w:rsidR="727BFE15" w:rsidRPr="727BFE15">
        <w:rPr>
          <w:i/>
          <w:iCs/>
        </w:rPr>
        <w:t>A Complex Portrait: An Examination of Small-Dollar Credit Consumers</w:t>
      </w:r>
      <w:r w:rsidR="727BFE15" w:rsidRPr="00294A73">
        <w:t xml:space="preserve">. Center for Financial Services Innovation. </w:t>
      </w:r>
      <w:hyperlink r:id="rId6" w:history="1">
        <w:r w:rsidR="727BFE15" w:rsidRPr="009827DC">
          <w:rPr>
            <w:rStyle w:val="Hyperlink"/>
          </w:rPr>
          <w:t>http://policylinkcontent.s3.amazonaws.com/ComplexPortraitExaminationOfSmallDollarCreditConsumers_CFSI_0.pdf</w:t>
        </w:r>
      </w:hyperlink>
      <w:r w:rsidR="727BFE15" w:rsidRPr="727BFE15">
        <w:rPr>
          <w:i/>
          <w:iCs/>
        </w:rPr>
        <w:t>,</w:t>
      </w:r>
      <w:r w:rsidR="727BFE15" w:rsidRPr="00D350F0">
        <w:t xml:space="preserve"> p. 4</w:t>
      </w:r>
      <w:r w:rsidR="727BFE15">
        <w:t>.</w:t>
      </w:r>
    </w:p>
  </w:footnote>
  <w:footnote w:id="11">
    <w:p w14:paraId="480281DB" w14:textId="5B6575B7" w:rsidR="00891D88" w:rsidRPr="00D350F0" w:rsidRDefault="00891D88" w:rsidP="00891D88">
      <w:pPr>
        <w:rPr>
          <w:rFonts w:ascii="Arial" w:hAnsi="Arial" w:cs="Arial"/>
          <w:sz w:val="20"/>
          <w:szCs w:val="20"/>
        </w:rPr>
      </w:pPr>
      <w:r w:rsidRPr="00D350F0">
        <w:rPr>
          <w:rStyle w:val="FootnoteReference"/>
          <w:rFonts w:ascii="Arial" w:hAnsi="Arial" w:cs="Arial"/>
          <w:sz w:val="20"/>
          <w:szCs w:val="20"/>
        </w:rPr>
        <w:footnoteRef/>
      </w:r>
      <w:r w:rsidR="727BFE15" w:rsidRPr="00D350F0">
        <w:rPr>
          <w:rFonts w:ascii="Arial" w:hAnsi="Arial" w:cs="Arial"/>
          <w:sz w:val="20"/>
          <w:szCs w:val="20"/>
        </w:rPr>
        <w:t xml:space="preserve"> </w:t>
      </w:r>
      <w:r w:rsidR="727BFE15" w:rsidRPr="000A6935">
        <w:rPr>
          <w:rFonts w:cs="Arial"/>
          <w:sz w:val="18"/>
          <w:szCs w:val="18"/>
        </w:rPr>
        <w:t>Vick, John, and Carol Norton</w:t>
      </w:r>
      <w:r w:rsidR="727BFE15">
        <w:rPr>
          <w:rFonts w:cs="Arial"/>
          <w:sz w:val="18"/>
          <w:szCs w:val="18"/>
        </w:rPr>
        <w:t>, 2008</w:t>
      </w:r>
      <w:r w:rsidR="727BFE15" w:rsidRPr="000A6935">
        <w:rPr>
          <w:rFonts w:cs="Arial"/>
          <w:sz w:val="18"/>
          <w:szCs w:val="18"/>
        </w:rPr>
        <w:t xml:space="preserve">. </w:t>
      </w:r>
      <w:r w:rsidR="727BFE15" w:rsidRPr="727BFE15">
        <w:rPr>
          <w:rFonts w:cs="Arial"/>
          <w:i/>
          <w:iCs/>
          <w:sz w:val="18"/>
          <w:szCs w:val="18"/>
        </w:rPr>
        <w:t>State of Metropolitan Housing Report 2008</w:t>
      </w:r>
      <w:r w:rsidR="727BFE15" w:rsidRPr="000A6935">
        <w:rPr>
          <w:rFonts w:cs="Arial"/>
          <w:sz w:val="18"/>
          <w:szCs w:val="18"/>
        </w:rPr>
        <w:t xml:space="preserve">. Center for Environmental Policy and Management (CEPM) at the University of Louisville, on behalf of Metropolitan Housing Coalition. </w:t>
      </w:r>
      <w:hyperlink r:id="rId7" w:history="1">
        <w:r w:rsidR="727BFE15" w:rsidRPr="009827DC">
          <w:rPr>
            <w:rStyle w:val="Hyperlink"/>
            <w:rFonts w:cs="Arial"/>
            <w:sz w:val="18"/>
            <w:szCs w:val="18"/>
          </w:rPr>
          <w:t>www.metropolitanhousing.org/wp-content/uploads/member_docs/2008_State_of_Metropolitan_Housing_Report.pdf</w:t>
        </w:r>
      </w:hyperlink>
      <w:r w:rsidR="727BFE15" w:rsidRPr="727BFE15">
        <w:rPr>
          <w:rFonts w:cs="Arial"/>
          <w:i/>
          <w:iCs/>
          <w:sz w:val="18"/>
          <w:szCs w:val="18"/>
        </w:rPr>
        <w:t xml:space="preserve">, </w:t>
      </w:r>
      <w:r w:rsidR="727BFE15" w:rsidRPr="00874669">
        <w:rPr>
          <w:rFonts w:cs="Arial"/>
          <w:sz w:val="18"/>
          <w:szCs w:val="18"/>
        </w:rPr>
        <w:t>p. 13.</w:t>
      </w:r>
    </w:p>
  </w:footnote>
  <w:footnote w:id="12">
    <w:p w14:paraId="36D43EAE" w14:textId="60CBB95E" w:rsidR="005355DA" w:rsidRDefault="005355DA">
      <w:pPr>
        <w:pStyle w:val="FootnoteText"/>
      </w:pPr>
      <w:r>
        <w:rPr>
          <w:rStyle w:val="FootnoteReference"/>
        </w:rPr>
        <w:footnoteRef/>
      </w:r>
      <w:r w:rsidR="727BFE15">
        <w:t xml:space="preserve"> </w:t>
      </w:r>
      <w:r w:rsidR="727BFE15" w:rsidRPr="0047225D">
        <w:t>Scavo, Jordan, Suzanne Korosec, Esteban Guerrero, Bill Pennington, and Pamela Doughman</w:t>
      </w:r>
      <w:r w:rsidR="727BFE15">
        <w:t>, 2016</w:t>
      </w:r>
      <w:r w:rsidR="727BFE15" w:rsidRPr="0047225D">
        <w:t xml:space="preserve">. </w:t>
      </w:r>
      <w:r w:rsidR="727BFE15" w:rsidRPr="727BFE15">
        <w:rPr>
          <w:i/>
          <w:iCs/>
        </w:rPr>
        <w:t>Low-Income Barriers Study, Part A: Overcoming Barriers to Energy Efficiency and Renewables for Low-income Customers and Small Business Contracting Opportunities in Disadvantaged Communities</w:t>
      </w:r>
      <w:r w:rsidR="727BFE15" w:rsidRPr="0047225D">
        <w:t xml:space="preserve">. California Energy Commission, Pub. no. CEC-300-2016-009-CMF. </w:t>
      </w:r>
      <w:hyperlink r:id="rId8" w:history="1">
        <w:r w:rsidR="727BFE15" w:rsidRPr="009827DC">
          <w:rPr>
            <w:rStyle w:val="Hyperlink"/>
          </w:rPr>
          <w:t>https://efiling.energy.ca.gov/getdocument.aspx?tn=214830</w:t>
        </w:r>
      </w:hyperlink>
      <w:r w:rsidR="727BFE15">
        <w:rPr>
          <w:rStyle w:val="Hyperlink"/>
        </w:rPr>
        <w:t>.</w:t>
      </w:r>
    </w:p>
  </w:footnote>
  <w:footnote w:id="13">
    <w:p w14:paraId="7CBA2C4C" w14:textId="1CAD37AB" w:rsidR="00171CB4" w:rsidRPr="00171CB4" w:rsidRDefault="00171CB4">
      <w:pPr>
        <w:pStyle w:val="FootnoteText"/>
      </w:pPr>
      <w:r>
        <w:rPr>
          <w:rStyle w:val="FootnoteReference"/>
        </w:rPr>
        <w:footnoteRef/>
      </w:r>
      <w:r w:rsidR="727BFE15">
        <w:t xml:space="preserve"> This framework offers steps California (and by extension, any other state considering building electrification or decarbonization policy) “must take to ensure that electrification helps close the clean energy gap... and provides relief to millions of residents facing energy insecurity in the current system.” Miller, Carmelita, Stephanie Chen, Lisa Hu, and Isaac Sevier, 2019. </w:t>
      </w:r>
      <w:r w:rsidR="727BFE15" w:rsidRPr="727BFE15">
        <w:rPr>
          <w:i/>
          <w:iCs/>
        </w:rPr>
        <w:t xml:space="preserve">Equitable Building Electrification: A Framework for Powering Resilient Communities. </w:t>
      </w:r>
      <w:r w:rsidR="727BFE15">
        <w:t xml:space="preserve">Oakland, CA: Greenlining Institute, and Energy Efficiency For All. </w:t>
      </w:r>
      <w:hyperlink r:id="rId9" w:history="1">
        <w:r w:rsidR="727BFE15" w:rsidRPr="0083734F">
          <w:rPr>
            <w:rStyle w:val="Hyperlink"/>
          </w:rPr>
          <w:t>https://assets.ctfassets.net/ntcn17ss1ow9/4bcrgrRiiymPoVKoMDCqPz/8568c1dd9eec6545c901c3b035a77832/Greenlining_EquitableElectrification_Report_2019_WEB.pdf</w:t>
        </w:r>
      </w:hyperlink>
      <w:r w:rsidR="727BFE15">
        <w:t xml:space="preserve">. </w:t>
      </w:r>
    </w:p>
  </w:footnote>
  <w:footnote w:id="14">
    <w:p w14:paraId="65C53A06" w14:textId="72F89F11" w:rsidR="009715AE" w:rsidRPr="009715AE" w:rsidRDefault="009715AE">
      <w:pPr>
        <w:pStyle w:val="FootnoteText"/>
      </w:pPr>
      <w:r>
        <w:rPr>
          <w:rStyle w:val="FootnoteReference"/>
        </w:rPr>
        <w:footnoteRef/>
      </w:r>
      <w:r w:rsidR="727BFE15">
        <w:t xml:space="preserve"> Miller et al., </w:t>
      </w:r>
      <w:r w:rsidR="727BFE15" w:rsidRPr="727BFE15">
        <w:rPr>
          <w:i/>
          <w:iCs/>
        </w:rPr>
        <w:t xml:space="preserve">Equitable Building Electrification, </w:t>
      </w:r>
      <w:r w:rsidR="727BFE15">
        <w:t>p. 13.</w:t>
      </w:r>
    </w:p>
  </w:footnote>
  <w:footnote w:id="15">
    <w:p w14:paraId="58B26632" w14:textId="4D17D502" w:rsidR="00974430" w:rsidRDefault="00974430">
      <w:pPr>
        <w:pStyle w:val="FootnoteText"/>
      </w:pPr>
      <w:r>
        <w:rPr>
          <w:rStyle w:val="FootnoteReference"/>
        </w:rPr>
        <w:footnoteRef/>
      </w:r>
      <w:r w:rsidR="727BFE15">
        <w:t xml:space="preserve"> If X is the fraction of total lifecycle savings allocated to cost recovery, the customer savings can be calculated as Total TOB investment x (1-X / X).</w:t>
      </w:r>
    </w:p>
  </w:footnote>
  <w:footnote w:id="16">
    <w:p w14:paraId="529F2A7A" w14:textId="4766BDCD" w:rsidR="00B35040" w:rsidRDefault="00B35040">
      <w:pPr>
        <w:pStyle w:val="FootnoteText"/>
      </w:pPr>
      <w:r>
        <w:rPr>
          <w:rStyle w:val="FootnoteReference"/>
        </w:rPr>
        <w:footnoteRef/>
      </w:r>
      <w:r w:rsidR="727BFE15">
        <w:t xml:space="preserve"> The Bay Area Regional Energy Network’s Water Upgrades $ave program is a jointly implemented tariffed on-bill initiative between the Association of Bay Area Governments and partner Bay Area municipal water utilities. </w:t>
      </w:r>
    </w:p>
  </w:footnote>
  <w:footnote w:id="17">
    <w:p w14:paraId="11D40F99" w14:textId="4304469F" w:rsidR="001D57B3" w:rsidRDefault="001D57B3">
      <w:pPr>
        <w:pStyle w:val="FootnoteText"/>
      </w:pPr>
      <w:r>
        <w:rPr>
          <w:rStyle w:val="FootnoteReference"/>
        </w:rPr>
        <w:footnoteRef/>
      </w:r>
      <w:r w:rsidR="727BFE15">
        <w:t xml:space="preserve"> The High Road Training Partnership, an initiative of the California Workforce Development Board, offers a model for creating economically resilient communities that place an emphasis on equity and job quality. See  </w:t>
      </w:r>
      <w:hyperlink r:id="rId10" w:history="1">
        <w:r w:rsidR="727BFE15" w:rsidRPr="0083734F">
          <w:rPr>
            <w:rStyle w:val="Hyperlink"/>
          </w:rPr>
          <w:t>https://cwdb.ca.gov/wp-content/uploads/sites/43/2020/08/OneSheet_HRTP_ACCESSIBLE.pdf</w:t>
        </w:r>
      </w:hyperlink>
      <w:r w:rsidR="727BFE15">
        <w:t xml:space="preserve">. </w:t>
      </w:r>
    </w:p>
  </w:footnote>
  <w:footnote w:id="18">
    <w:p w14:paraId="39D2E646" w14:textId="1192BD75" w:rsidR="00E0670C" w:rsidRDefault="00E0670C">
      <w:pPr>
        <w:pStyle w:val="FootnoteText"/>
      </w:pPr>
      <w:r>
        <w:rPr>
          <w:rStyle w:val="FootnoteReference"/>
        </w:rPr>
        <w:footnoteRef/>
      </w:r>
      <w:r w:rsidR="727BFE15">
        <w:t xml:space="preserve"> The California Energy Efficiency Coordinating Committee sponsors working groups across several topics. For more information about the Equity Metrics Working Group, see </w:t>
      </w:r>
      <w:hyperlink r:id="rId11" w:history="1">
        <w:r w:rsidR="727BFE15" w:rsidRPr="00346A89">
          <w:rPr>
            <w:rStyle w:val="Hyperlink"/>
          </w:rPr>
          <w:t>https://www.caeecc.org/equity-metrics-working-group-meeting</w:t>
        </w:r>
      </w:hyperlink>
      <w:r w:rsidR="727BFE15">
        <w:t xml:space="preserve">. </w:t>
      </w:r>
    </w:p>
  </w:footnote>
  <w:footnote w:id="19">
    <w:p w14:paraId="02F974B6" w14:textId="734BD240" w:rsidR="00293BF4" w:rsidRDefault="00293BF4">
      <w:pPr>
        <w:pStyle w:val="FootnoteText"/>
      </w:pPr>
      <w:r>
        <w:rPr>
          <w:rStyle w:val="FootnoteReference"/>
        </w:rPr>
        <w:footnoteRef/>
      </w:r>
      <w:r w:rsidR="727BFE15">
        <w:t xml:space="preserve"> As designated by SB 535 Disadvantaged Communities (updated June 2017), and described by the California Office of Environmental Health Hazard Assessment. See </w:t>
      </w:r>
      <w:hyperlink r:id="rId12" w:history="1">
        <w:r w:rsidR="727BFE15" w:rsidRPr="00346A89">
          <w:rPr>
            <w:rStyle w:val="Hyperlink"/>
          </w:rPr>
          <w:t>https://oehha.ca.gov/calenviroscreen/sb535</w:t>
        </w:r>
      </w:hyperlink>
      <w:r w:rsidR="727BFE15">
        <w:t xml:space="preserve">. </w:t>
      </w:r>
    </w:p>
  </w:footnote>
  <w:footnote w:id="20">
    <w:p w14:paraId="70FBF6AF" w14:textId="0678458D" w:rsidR="00D141F9" w:rsidRPr="00EA7C0C" w:rsidRDefault="00D141F9" w:rsidP="00D141F9">
      <w:pPr>
        <w:pStyle w:val="FootnoteText"/>
      </w:pPr>
      <w:r w:rsidRPr="00EA7C0C">
        <w:rPr>
          <w:rStyle w:val="FootnoteReference"/>
        </w:rPr>
        <w:footnoteRef/>
      </w:r>
      <w:r w:rsidR="727BFE15" w:rsidRPr="00EA7C0C">
        <w:t xml:space="preserve"> </w:t>
      </w:r>
      <w:r w:rsidR="727BFE15">
        <w:t>Adapted from Cillo, Paul, 2021. “Updated PAYS</w:t>
      </w:r>
      <w:r w:rsidR="727BFE15" w:rsidRPr="009D0BDD">
        <w:rPr>
          <w:vertAlign w:val="superscript"/>
        </w:rPr>
        <w:t>®</w:t>
      </w:r>
      <w:r w:rsidR="727BFE15">
        <w:t xml:space="preserve"> [Pay As You Save] Essential Elements and Minimum Program Requirements Effective December 31, 2020.” </w:t>
      </w:r>
      <w:r w:rsidR="727BFE15" w:rsidRPr="002553D9">
        <w:t>Energy Efficiency Institute, Inc.</w:t>
      </w:r>
      <w:r w:rsidR="727BFE15">
        <w:t xml:space="preserve">. </w:t>
      </w:r>
      <w:hyperlink r:id="rId13" w:history="1">
        <w:r w:rsidR="727BFE15" w:rsidRPr="00086F74">
          <w:rPr>
            <w:rStyle w:val="Hyperlink"/>
          </w:rPr>
          <w:t>https://www.eeivt.com/updated-pays-essential-elements-and-minimum-program-requirements-effective-december-31-2020/</w:t>
        </w:r>
      </w:hyperlink>
      <w:r w:rsidR="727BFE15">
        <w:t xml:space="preserve">. </w:t>
      </w:r>
    </w:p>
  </w:footnote>
  <w:footnote w:id="21">
    <w:p w14:paraId="5661B39F" w14:textId="39772404" w:rsidR="00EC6C08" w:rsidRDefault="00EC6C08">
      <w:pPr>
        <w:pStyle w:val="FootnoteText"/>
      </w:pPr>
      <w:r>
        <w:rPr>
          <w:rStyle w:val="FootnoteReference"/>
        </w:rPr>
        <w:footnoteRef/>
      </w:r>
      <w:r w:rsidR="727BFE15">
        <w:t xml:space="preserve"> TECH Clean California recommends that the rate be no more than 80 percent.</w:t>
      </w:r>
    </w:p>
  </w:footnote>
  <w:footnote w:id="22">
    <w:p w14:paraId="04149ADA" w14:textId="6D7F1EC6" w:rsidR="00317450" w:rsidRDefault="00317450">
      <w:pPr>
        <w:pStyle w:val="FootnoteText"/>
      </w:pPr>
      <w:r>
        <w:rPr>
          <w:rStyle w:val="FootnoteReference"/>
        </w:rPr>
        <w:footnoteRef/>
      </w:r>
      <w:r w:rsidR="727BFE15">
        <w:t xml:space="preserve"> TECH Clean California recommends that the length of the term not exceed the project’s</w:t>
      </w:r>
      <w:r w:rsidR="00A155FE">
        <w:t xml:space="preserve"> useful life</w:t>
      </w:r>
      <w:r w:rsidR="727BFE15">
        <w:t xml:space="preserve">. </w:t>
      </w:r>
    </w:p>
  </w:footnote>
  <w:footnote w:id="23">
    <w:p w14:paraId="595D72D8" w14:textId="37BBC231" w:rsidR="00563C01" w:rsidRPr="008118E8" w:rsidRDefault="00563C01" w:rsidP="00563C01">
      <w:pPr>
        <w:pStyle w:val="FootnoteText"/>
      </w:pPr>
      <w:r w:rsidRPr="008118E8">
        <w:rPr>
          <w:rStyle w:val="FootnoteReference"/>
        </w:rPr>
        <w:footnoteRef/>
      </w:r>
      <w:r w:rsidR="727BFE15" w:rsidRPr="008118E8">
        <w:t xml:space="preserve"> </w:t>
      </w:r>
      <w:r w:rsidR="727BFE15">
        <w:t xml:space="preserve">The U.S. Patent and Trademark Office has designated </w:t>
      </w:r>
      <w:r w:rsidR="727BFE15" w:rsidRPr="008118E8">
        <w:t>Pay As You Save</w:t>
      </w:r>
      <w:r w:rsidR="727BFE15" w:rsidRPr="008118E8">
        <w:rPr>
          <w:vertAlign w:val="superscript"/>
        </w:rPr>
        <w:t>®</w:t>
      </w:r>
      <w:r w:rsidR="727BFE15" w:rsidRPr="008118E8">
        <w:t xml:space="preserve"> and its acronym, PAYS</w:t>
      </w:r>
      <w:r w:rsidR="727BFE15" w:rsidRPr="008118E8">
        <w:rPr>
          <w:vertAlign w:val="superscript"/>
        </w:rPr>
        <w:t>®</w:t>
      </w:r>
      <w:r w:rsidR="727BFE15">
        <w:t>,</w:t>
      </w:r>
      <w:r w:rsidR="727BFE15" w:rsidRPr="008118E8">
        <w:t xml:space="preserve"> as </w:t>
      </w:r>
      <w:r w:rsidR="727BFE15">
        <w:t xml:space="preserve">registered trademarks for a </w:t>
      </w:r>
      <w:r w:rsidR="727BFE15" w:rsidRPr="008118E8">
        <w:t xml:space="preserve">system with specific essential elements and minimum program requirements. </w:t>
      </w:r>
      <w:r w:rsidR="727BFE15">
        <w:t xml:space="preserve">The </w:t>
      </w:r>
      <w:r w:rsidR="727BFE15" w:rsidRPr="008118E8">
        <w:t xml:space="preserve">Energy Efficiency Institute, Inc., which holds the </w:t>
      </w:r>
      <w:r w:rsidR="727BFE15">
        <w:t xml:space="preserve">registered </w:t>
      </w:r>
      <w:r w:rsidR="727BFE15" w:rsidRPr="008118E8">
        <w:t xml:space="preserve">trademarks, has never charged any entity for using its marks. The trademarks ensure that </w:t>
      </w:r>
      <w:r w:rsidR="727BFE15" w:rsidRPr="727BFE15">
        <w:rPr>
          <w:i/>
          <w:iCs/>
        </w:rPr>
        <w:t xml:space="preserve">Pay </w:t>
      </w:r>
      <w:bookmarkStart w:id="23" w:name="_Int_acM4mWu5"/>
      <w:r w:rsidR="727BFE15" w:rsidRPr="727BFE15">
        <w:rPr>
          <w:i/>
          <w:iCs/>
        </w:rPr>
        <w:t>As</w:t>
      </w:r>
      <w:bookmarkEnd w:id="23"/>
      <w:r w:rsidR="727BFE15" w:rsidRPr="727BFE15">
        <w:rPr>
          <w:i/>
          <w:iCs/>
        </w:rPr>
        <w:t xml:space="preserve"> You Save</w:t>
      </w:r>
      <w:r w:rsidR="727BFE15" w:rsidRPr="008118E8">
        <w:t xml:space="preserve"> and </w:t>
      </w:r>
      <w:r w:rsidR="727BFE15" w:rsidRPr="727BFE15">
        <w:rPr>
          <w:i/>
          <w:iCs/>
        </w:rPr>
        <w:t>PAYS</w:t>
      </w:r>
      <w:r w:rsidR="727BFE15" w:rsidRPr="008118E8">
        <w:t xml:space="preserve"> may be used </w:t>
      </w:r>
      <w:r w:rsidR="727BFE15">
        <w:t xml:space="preserve">only </w:t>
      </w:r>
      <w:r w:rsidR="727BFE15" w:rsidRPr="008118E8">
        <w:t>to refer to programs that have PAYS’ essential elements and minimum program requirements.</w:t>
      </w:r>
    </w:p>
  </w:footnote>
  <w:footnote w:id="24">
    <w:p w14:paraId="2E7BD3A9" w14:textId="268BFBFB" w:rsidR="00556698" w:rsidRPr="009723AA" w:rsidRDefault="00556698" w:rsidP="00556698">
      <w:pPr>
        <w:pStyle w:val="FootnoteText"/>
      </w:pPr>
      <w:r w:rsidRPr="008118E8">
        <w:rPr>
          <w:rStyle w:val="FootnoteReference"/>
        </w:rPr>
        <w:footnoteRef/>
      </w:r>
      <w:r w:rsidR="727BFE15" w:rsidRPr="008118E8">
        <w:t xml:space="preserve"> </w:t>
      </w:r>
      <w:r w:rsidR="727BFE15">
        <w:t>Energy Efficiency Institute, 2021. “2021 PAYS</w:t>
      </w:r>
      <w:r w:rsidR="727BFE15" w:rsidRPr="0017616C">
        <w:rPr>
          <w:vertAlign w:val="superscript"/>
        </w:rPr>
        <w:t>®</w:t>
      </w:r>
      <w:r w:rsidR="727BFE15">
        <w:t xml:space="preserve"> Status Update. </w:t>
      </w:r>
      <w:hyperlink r:id="rId14" w:history="1">
        <w:r w:rsidR="727BFE15" w:rsidRPr="00BF2E16">
          <w:rPr>
            <w:rStyle w:val="Hyperlink"/>
          </w:rPr>
          <w:t>http://www.eeivt.com/wp-content/uploads/2021/12/2021-PAYS-Status-Update_12.30.21rev.pdf</w:t>
        </w:r>
      </w:hyperlink>
    </w:p>
  </w:footnote>
  <w:footnote w:id="25">
    <w:p w14:paraId="1D8E8F00" w14:textId="5EE96356" w:rsidR="00117155" w:rsidRDefault="00117155">
      <w:pPr>
        <w:pStyle w:val="FootnoteText"/>
      </w:pPr>
      <w:r>
        <w:rPr>
          <w:rStyle w:val="FootnoteReference"/>
        </w:rPr>
        <w:footnoteRef/>
      </w:r>
      <w:r w:rsidR="727BFE15">
        <w:t xml:space="preserve"> </w:t>
      </w:r>
      <w:r w:rsidR="727BFE15" w:rsidRPr="00117155">
        <w:t>Bickel, Stephen, Jill Ferguson, and Daniel Kauffman</w:t>
      </w:r>
      <w:r w:rsidR="727BFE15">
        <w:t>, 2</w:t>
      </w:r>
      <w:r w:rsidR="727BFE15" w:rsidRPr="00117155">
        <w:t>020</w:t>
      </w:r>
      <w:r w:rsidR="727BFE15">
        <w:t>. “Utility Value of a Pay As</w:t>
      </w:r>
      <w:r w:rsidR="727BFE15" w:rsidRPr="00117155">
        <w:t xml:space="preserve"> You Save</w:t>
      </w:r>
      <w:r w:rsidR="727BFE15" w:rsidRPr="00117155">
        <w:rPr>
          <w:vertAlign w:val="superscript"/>
        </w:rPr>
        <w:t>®</w:t>
      </w:r>
      <w:r w:rsidR="727BFE15" w:rsidRPr="00117155">
        <w:t xml:space="preserve"> Energy Efficiency Program</w:t>
      </w:r>
      <w:r w:rsidR="727BFE15">
        <w:t xml:space="preserve">.” </w:t>
      </w:r>
      <w:r w:rsidR="727BFE15" w:rsidRPr="00EA7142">
        <w:t>Panel 2: Residential Buildings: Program Design, Implementation, &amp; Evaluation</w:t>
      </w:r>
      <w:r w:rsidR="727BFE15">
        <w:t>.</w:t>
      </w:r>
      <w:r w:rsidR="727BFE15" w:rsidRPr="727BFE15">
        <w:rPr>
          <w:i/>
          <w:iCs/>
        </w:rPr>
        <w:t xml:space="preserve"> Proceedings of the</w:t>
      </w:r>
      <w:r w:rsidR="727BFE15" w:rsidRPr="00117155">
        <w:t xml:space="preserve"> </w:t>
      </w:r>
      <w:r w:rsidR="727BFE15" w:rsidRPr="727BFE15">
        <w:rPr>
          <w:i/>
          <w:iCs/>
        </w:rPr>
        <w:t xml:space="preserve">ACEEE 2020 Summer Study on Energy Efficiency in Buildings. </w:t>
      </w:r>
      <w:r w:rsidR="727BFE15">
        <w:t xml:space="preserve">Washington, DC: American Council for an Energy-Efficient Economy: </w:t>
      </w:r>
      <w:r w:rsidR="727BFE15" w:rsidRPr="00117155">
        <w:t>2-15 to 2-29</w:t>
      </w:r>
      <w:r w:rsidR="727BFE15">
        <w:t xml:space="preserve">. </w:t>
      </w:r>
      <w:hyperlink r:id="rId15" w:history="1">
        <w:r w:rsidR="727BFE15" w:rsidRPr="00B348FB">
          <w:rPr>
            <w:rStyle w:val="Hyperlink"/>
          </w:rPr>
          <w:t>https://www.aceee.org/files/proceedings/2020/event-data/pdf/catalyst_activity_10638/catalyst_activity_paper_20200812131023120_f3ae9c74_21aa_4f2d_ab9b_e70982627d24</w:t>
        </w:r>
      </w:hyperlink>
      <w:r w:rsidR="727BFE15">
        <w:t>.</w:t>
      </w:r>
      <w:r w:rsidR="727BFE15" w:rsidRPr="00B348FB">
        <w:t xml:space="preserve"> </w:t>
      </w:r>
    </w:p>
  </w:footnote>
  <w:footnote w:id="26">
    <w:p w14:paraId="4D0CCC22" w14:textId="54BF6D8B" w:rsidR="00FF62ED" w:rsidRDefault="00FF62ED">
      <w:pPr>
        <w:pStyle w:val="FootnoteText"/>
      </w:pPr>
      <w:r>
        <w:rPr>
          <w:rStyle w:val="FootnoteReference"/>
        </w:rPr>
        <w:footnoteRef/>
      </w:r>
      <w:r w:rsidR="727BFE15">
        <w:t xml:space="preserve"> </w:t>
      </w:r>
      <w:bookmarkStart w:id="25" w:name="_Int_AHnHiNdd"/>
      <w:r w:rsidR="727BFE15">
        <w:t>LibertyHomes</w:t>
      </w:r>
      <w:bookmarkEnd w:id="25"/>
      <w:r w:rsidR="727BFE15">
        <w:t xml:space="preserve"> summarizes the enabling regulatory authority for these programs: </w:t>
      </w:r>
      <w:hyperlink r:id="rId16" w:history="1">
        <w:r w:rsidR="727BFE15" w:rsidRPr="00E02A2F">
          <w:rPr>
            <w:rStyle w:val="Hyperlink"/>
          </w:rPr>
          <w:t>https://www.libertyhomes.org/post/6-25-21-policy-precedents-for-pay-as-you-save-and-inclusive-utility-investment</w:t>
        </w:r>
      </w:hyperlink>
      <w:r w:rsidR="727BFE15">
        <w:t>.</w:t>
      </w:r>
    </w:p>
  </w:footnote>
  <w:footnote w:id="27">
    <w:p w14:paraId="6AA29F05" w14:textId="58C65E16" w:rsidR="007D69FF" w:rsidRDefault="007D69FF">
      <w:pPr>
        <w:pStyle w:val="FootnoteText"/>
      </w:pPr>
      <w:r>
        <w:rPr>
          <w:rStyle w:val="FootnoteReference"/>
        </w:rPr>
        <w:footnoteRef/>
      </w:r>
      <w:r w:rsidR="727BFE15">
        <w:t xml:space="preserve"> SEEA is </w:t>
      </w:r>
      <w:r w:rsidR="727BFE15" w:rsidRPr="007D69FF">
        <w:t>a 501(c)(3) nonprofit and Regional Energy Efficiency Organization (REEO) established in 2007 in Atlanta, Georgia.</w:t>
      </w:r>
    </w:p>
  </w:footnote>
  <w:footnote w:id="28">
    <w:p w14:paraId="4CD6CF9F" w14:textId="2BC530D6" w:rsidR="008B0DCD" w:rsidRDefault="008B0DCD" w:rsidP="008B0DCD">
      <w:pPr>
        <w:pStyle w:val="FootnoteText"/>
      </w:pPr>
      <w:r>
        <w:rPr>
          <w:rStyle w:val="FootnoteReference"/>
        </w:rPr>
        <w:footnoteRef/>
      </w:r>
      <w:r w:rsidR="727BFE15">
        <w:t xml:space="preserve"> Holmes, Wesley, Cyrus Bhedwar, Kate Lee, and Emme Luck, 2020. “Utility Guide to Tariffed On-Bill Programs.” Atlanta, GA: Southeast Energy Efficiency Alliance.  </w:t>
      </w:r>
      <w:hyperlink r:id="rId17" w:history="1">
        <w:r w:rsidR="727BFE15" w:rsidRPr="001B23B5">
          <w:rPr>
            <w:rStyle w:val="Hyperlink"/>
          </w:rPr>
          <w:t>https://www.seealliance.org/wp-content/uploads/SEEA_TOBGuide_FINAL_UPDATED_2020_04_13.pdf</w:t>
        </w:r>
      </w:hyperlink>
      <w:r w:rsidR="727BFE15">
        <w:t xml:space="preserve"> </w:t>
      </w:r>
    </w:p>
  </w:footnote>
  <w:footnote w:id="29">
    <w:p w14:paraId="5341E88A" w14:textId="77777777" w:rsidR="00356C24" w:rsidRPr="00585FB6" w:rsidRDefault="00356C24" w:rsidP="727BFE15">
      <w:pPr>
        <w:widowControl w:val="0"/>
        <w:autoSpaceDE w:val="0"/>
        <w:autoSpaceDN w:val="0"/>
        <w:adjustRightInd w:val="0"/>
        <w:spacing w:line="240" w:lineRule="auto"/>
        <w:rPr>
          <w:rFonts w:cs="Arial"/>
          <w:sz w:val="18"/>
          <w:szCs w:val="18"/>
        </w:rPr>
      </w:pPr>
      <w:r w:rsidRPr="00585FB6">
        <w:rPr>
          <w:rStyle w:val="FootnoteReference"/>
          <w:rFonts w:cs="Arial"/>
          <w:sz w:val="18"/>
          <w:szCs w:val="18"/>
        </w:rPr>
        <w:footnoteRef/>
      </w:r>
      <w:r w:rsidR="727BFE15" w:rsidRPr="00585FB6">
        <w:rPr>
          <w:rFonts w:cs="Arial"/>
          <w:color w:val="000000"/>
          <w:sz w:val="18"/>
          <w:szCs w:val="18"/>
        </w:rPr>
        <w:t xml:space="preserve"> Scavo et al., </w:t>
      </w:r>
      <w:r w:rsidR="727BFE15" w:rsidRPr="727BFE15">
        <w:rPr>
          <w:rFonts w:cs="Arial"/>
          <w:i/>
          <w:iCs/>
          <w:color w:val="000000"/>
          <w:sz w:val="18"/>
          <w:szCs w:val="18"/>
        </w:rPr>
        <w:t>Low-Income Barriers Study</w:t>
      </w:r>
      <w:r w:rsidR="727BFE15" w:rsidRPr="00585FB6">
        <w:rPr>
          <w:rFonts w:cs="Arial"/>
          <w:color w:val="000000"/>
          <w:sz w:val="18"/>
          <w:szCs w:val="18"/>
        </w:rPr>
        <w:t>, p. 7</w:t>
      </w:r>
    </w:p>
  </w:footnote>
  <w:footnote w:id="30">
    <w:p w14:paraId="10CD9612" w14:textId="476D811E" w:rsidR="00356C24" w:rsidRPr="00585FB6" w:rsidRDefault="00356C24" w:rsidP="00356C24">
      <w:pPr>
        <w:rPr>
          <w:rFonts w:eastAsia="Times New Roman" w:cs="Arial"/>
          <w:sz w:val="18"/>
          <w:szCs w:val="18"/>
        </w:rPr>
      </w:pPr>
      <w:r w:rsidRPr="00585FB6">
        <w:rPr>
          <w:rStyle w:val="FootnoteReference"/>
          <w:rFonts w:cs="Arial"/>
          <w:sz w:val="18"/>
          <w:szCs w:val="18"/>
        </w:rPr>
        <w:footnoteRef/>
      </w:r>
      <w:r w:rsidR="727BFE15" w:rsidRPr="00585FB6">
        <w:rPr>
          <w:rFonts w:cs="Arial"/>
          <w:sz w:val="18"/>
          <w:szCs w:val="18"/>
        </w:rPr>
        <w:t xml:space="preserve"> Elkind</w:t>
      </w:r>
      <w:r w:rsidR="727BFE15">
        <w:rPr>
          <w:rFonts w:cs="Arial"/>
          <w:sz w:val="18"/>
          <w:szCs w:val="18"/>
        </w:rPr>
        <w:t xml:space="preserve">, Ethan, and Ted </w:t>
      </w:r>
      <w:r w:rsidR="727BFE15" w:rsidRPr="00585FB6">
        <w:rPr>
          <w:rFonts w:cs="Arial"/>
          <w:sz w:val="18"/>
          <w:szCs w:val="18"/>
        </w:rPr>
        <w:t>Lamm,</w:t>
      </w:r>
      <w:r w:rsidR="727BFE15">
        <w:rPr>
          <w:rFonts w:cs="Arial"/>
          <w:sz w:val="18"/>
          <w:szCs w:val="18"/>
        </w:rPr>
        <w:t xml:space="preserve"> 2019. </w:t>
      </w:r>
      <w:r w:rsidR="727BFE15" w:rsidRPr="00585FB6">
        <w:rPr>
          <w:rFonts w:cs="Arial"/>
          <w:sz w:val="18"/>
          <w:szCs w:val="18"/>
        </w:rPr>
        <w:t xml:space="preserve"> </w:t>
      </w:r>
      <w:r w:rsidR="727BFE15" w:rsidRPr="727BFE15">
        <w:rPr>
          <w:rFonts w:cs="Arial"/>
          <w:i/>
          <w:iCs/>
          <w:sz w:val="18"/>
          <w:szCs w:val="18"/>
        </w:rPr>
        <w:t xml:space="preserve">Low-Income, High Efficiency: Policies to Expand Low-Income Multifamily Energy Savings Retrofits.” </w:t>
      </w:r>
      <w:r w:rsidR="727BFE15">
        <w:rPr>
          <w:rFonts w:cs="Arial"/>
          <w:sz w:val="18"/>
          <w:szCs w:val="18"/>
        </w:rPr>
        <w:t>Berkeley, CA: Center for Law, Energy &amp; the Environment (University of California at Berkeley), and Emmett Institute on Climate Change and the Environment (University of California at Los Angeles):</w:t>
      </w:r>
      <w:r w:rsidR="727BFE15" w:rsidRPr="00585FB6">
        <w:rPr>
          <w:rFonts w:cs="Arial"/>
          <w:sz w:val="18"/>
          <w:szCs w:val="18"/>
        </w:rPr>
        <w:t xml:space="preserve"> 33</w:t>
      </w:r>
      <w:r w:rsidR="727BFE15">
        <w:rPr>
          <w:rFonts w:cs="Arial"/>
          <w:sz w:val="18"/>
          <w:szCs w:val="18"/>
        </w:rPr>
        <w:t xml:space="preserve">. </w:t>
      </w:r>
      <w:hyperlink r:id="rId18" w:history="1">
        <w:r w:rsidR="727BFE15" w:rsidRPr="00086F74">
          <w:rPr>
            <w:rStyle w:val="Hyperlink"/>
            <w:rFonts w:cs="Arial"/>
            <w:sz w:val="18"/>
            <w:szCs w:val="18"/>
          </w:rPr>
          <w:t>https://www.law.berkeley.edu/wp-content/uploads/2019/06/Low-Income-High-Efficiency-June-2019.pdf</w:t>
        </w:r>
      </w:hyperlink>
      <w:r w:rsidR="727BFE15">
        <w:rPr>
          <w:rFonts w:cs="Arial"/>
          <w:sz w:val="18"/>
          <w:szCs w:val="18"/>
        </w:rPr>
        <w:t xml:space="preserve">. </w:t>
      </w:r>
    </w:p>
  </w:footnote>
  <w:footnote w:id="31">
    <w:p w14:paraId="60AC592A" w14:textId="77777777" w:rsidR="006E2D67" w:rsidRPr="00F759F0" w:rsidRDefault="006E2D67" w:rsidP="006E2D67">
      <w:pPr>
        <w:rPr>
          <w:rFonts w:eastAsia="Times New Roman"/>
          <w:sz w:val="18"/>
          <w:szCs w:val="18"/>
        </w:rPr>
      </w:pPr>
      <w:r w:rsidRPr="00585FB6">
        <w:rPr>
          <w:rStyle w:val="FootnoteReference"/>
          <w:sz w:val="18"/>
          <w:szCs w:val="18"/>
        </w:rPr>
        <w:footnoteRef/>
      </w:r>
      <w:r w:rsidRPr="00585FB6">
        <w:rPr>
          <w:sz w:val="18"/>
          <w:szCs w:val="18"/>
        </w:rPr>
        <w:t xml:space="preserve"> Miller et al., </w:t>
      </w:r>
      <w:r w:rsidRPr="00585FB6">
        <w:rPr>
          <w:i/>
          <w:iCs/>
          <w:sz w:val="18"/>
          <w:szCs w:val="18"/>
        </w:rPr>
        <w:t>Equitable Building Electrification</w:t>
      </w:r>
      <w:r w:rsidRPr="00585FB6">
        <w:rPr>
          <w:sz w:val="18"/>
          <w:szCs w:val="18"/>
        </w:rPr>
        <w:t>, p. 43</w:t>
      </w:r>
    </w:p>
  </w:footnote>
  <w:footnote w:id="32">
    <w:p w14:paraId="4EE58FC0" w14:textId="336874DC" w:rsidR="006E2D67" w:rsidRPr="008923F5" w:rsidRDefault="006E2D67" w:rsidP="006E2D67">
      <w:pPr>
        <w:pStyle w:val="FootnoteText"/>
      </w:pPr>
      <w:r>
        <w:rPr>
          <w:rStyle w:val="FootnoteReference"/>
        </w:rPr>
        <w:footnoteRef/>
      </w:r>
      <w:r w:rsidR="727BFE15">
        <w:t xml:space="preserve"> </w:t>
      </w:r>
      <w:r w:rsidR="727BFE15" w:rsidRPr="008923F5">
        <w:t>Kenney,</w:t>
      </w:r>
      <w:r w:rsidR="727BFE15">
        <w:t xml:space="preserve"> Michael, Heather</w:t>
      </w:r>
      <w:r w:rsidR="727BFE15" w:rsidRPr="008923F5">
        <w:t xml:space="preserve"> Bird, and </w:t>
      </w:r>
      <w:r w:rsidR="727BFE15">
        <w:t xml:space="preserve">Heriberto </w:t>
      </w:r>
      <w:r w:rsidR="727BFE15" w:rsidRPr="008923F5">
        <w:t>Rosales,</w:t>
      </w:r>
      <w:r w:rsidR="727BFE15">
        <w:t xml:space="preserve"> 2019. </w:t>
      </w:r>
      <w:r w:rsidR="727BFE15" w:rsidRPr="727BFE15">
        <w:rPr>
          <w:i/>
          <w:iCs/>
        </w:rPr>
        <w:t xml:space="preserve">2019 California Energy Efficiency Action Plan. </w:t>
      </w:r>
      <w:r w:rsidR="727BFE15">
        <w:t xml:space="preserve">California Energy Commission. Publication Number: CEC-400-2019-010-SF: </w:t>
      </w:r>
      <w:hyperlink r:id="rId19" w:history="1">
        <w:r w:rsidR="727BFE15" w:rsidRPr="00086F74">
          <w:rPr>
            <w:rStyle w:val="Hyperlink"/>
          </w:rPr>
          <w:t>https://www.energy.ca.gov/filebrowser/download/1900</w:t>
        </w:r>
      </w:hyperlink>
      <w:r w:rsidR="727BFE15">
        <w:t xml:space="preserve">.  </w:t>
      </w:r>
    </w:p>
  </w:footnote>
  <w:footnote w:id="33">
    <w:p w14:paraId="7D86FF14" w14:textId="7309C021" w:rsidR="00EA49EE" w:rsidRDefault="00EA49EE">
      <w:pPr>
        <w:pStyle w:val="FootnoteText"/>
      </w:pPr>
      <w:r>
        <w:rPr>
          <w:rStyle w:val="FootnoteReference"/>
        </w:rPr>
        <w:footnoteRef/>
      </w:r>
      <w:r w:rsidR="727BFE15">
        <w:t xml:space="preserve"> Mast, Bruce, Holmes Hummel, and Jeanne Clinton, 2020. </w:t>
      </w:r>
      <w:r w:rsidR="727BFE15" w:rsidRPr="727BFE15">
        <w:rPr>
          <w:i/>
          <w:iCs/>
        </w:rPr>
        <w:t xml:space="preserve">Towards an Accessible Financing Solution. </w:t>
      </w:r>
      <w:r w:rsidR="727BFE15" w:rsidRPr="0003316E">
        <w:t>Building De</w:t>
      </w:r>
      <w:r w:rsidR="727BFE15">
        <w:t xml:space="preserve">carbonization Coalition. </w:t>
      </w:r>
      <w:hyperlink r:id="rId20" w:history="1">
        <w:r w:rsidR="727BFE15" w:rsidRPr="009601BD">
          <w:rPr>
            <w:rStyle w:val="Hyperlink"/>
          </w:rPr>
          <w:t>https://www.buildingdecarb.org/uploads/3/0/7/3/30734489/bdc_whitepaper_final_small.pdf</w:t>
        </w:r>
      </w:hyperlink>
      <w:r w:rsidR="727BFE15">
        <w:rPr>
          <w:rStyle w:val="Hyperlink"/>
        </w:rPr>
        <w:t>.</w:t>
      </w:r>
      <w:r w:rsidR="727BFE15">
        <w:t xml:space="preserve"> </w:t>
      </w:r>
    </w:p>
  </w:footnote>
  <w:footnote w:id="34">
    <w:p w14:paraId="1B84DFC5" w14:textId="1A5B06AF" w:rsidR="001E1172" w:rsidRDefault="001E1172">
      <w:pPr>
        <w:pStyle w:val="FootnoteText"/>
      </w:pPr>
      <w:r>
        <w:rPr>
          <w:rStyle w:val="FootnoteReference"/>
        </w:rPr>
        <w:footnoteRef/>
      </w:r>
      <w:r>
        <w:t xml:space="preserve"> </w:t>
      </w:r>
      <w:r w:rsidRPr="001E1172">
        <w:t>Note: this is not strictly authorized today but would be authorized under SB 1112 (Becker, 2022)</w:t>
      </w:r>
    </w:p>
  </w:footnote>
  <w:footnote w:id="35">
    <w:p w14:paraId="36952AB3" w14:textId="1E9107A8" w:rsidR="003529D5" w:rsidRPr="00E22310" w:rsidRDefault="003529D5" w:rsidP="00326442">
      <w:pPr>
        <w:pStyle w:val="FootnoteText"/>
      </w:pPr>
      <w:r>
        <w:rPr>
          <w:rStyle w:val="FootnoteReference"/>
        </w:rPr>
        <w:footnoteRef/>
      </w:r>
      <w:r w:rsidR="727BFE15">
        <w:t xml:space="preserve"> California Public Utilities Commission, May 2021. </w:t>
      </w:r>
      <w:r w:rsidR="727BFE15" w:rsidRPr="727BFE15">
        <w:rPr>
          <w:i/>
          <w:iCs/>
        </w:rPr>
        <w:t xml:space="preserve">Utility Costs and Affordability of the Grid of the Future: An Evaluation of Electric Costs, Rates, and Equity Issues Pursuant to P.U. Code Section 913.1. </w:t>
      </w:r>
      <w:hyperlink r:id="rId21" w:history="1">
        <w:r w:rsidR="727BFE15" w:rsidRPr="00193325">
          <w:rPr>
            <w:rStyle w:val="Hyperlink"/>
          </w:rPr>
          <w:t>https://www.cpuc.ca.gov/-/media/cpuc-website/divisions/office-of-governmental-affairs-division/reports/2021/senate-bill-695-report-2021-and-en-banc-whitepaper_final_04302021.pdf</w:t>
        </w:r>
      </w:hyperlink>
      <w:r w:rsidR="727BFE15">
        <w:t xml:space="preserve">. </w:t>
      </w:r>
    </w:p>
  </w:footnote>
  <w:footnote w:id="36">
    <w:p w14:paraId="59ED00F0" w14:textId="14962906" w:rsidR="00155AA1" w:rsidRPr="00155AA1" w:rsidRDefault="00155AA1" w:rsidP="727BFE15">
      <w:pPr>
        <w:rPr>
          <w:rFonts w:cstheme="minorBidi"/>
          <w:color w:val="454545"/>
        </w:rPr>
      </w:pPr>
      <w:r>
        <w:rPr>
          <w:rStyle w:val="FootnoteReference"/>
        </w:rPr>
        <w:footnoteRef/>
      </w:r>
      <w:r w:rsidR="727BFE15">
        <w:t xml:space="preserve"> </w:t>
      </w:r>
      <w:r w:rsidR="727BFE15" w:rsidRPr="002F5826">
        <w:rPr>
          <w:sz w:val="18"/>
          <w:szCs w:val="18"/>
        </w:rPr>
        <w:t>For more information, see</w:t>
      </w:r>
      <w:r w:rsidR="727BFE15">
        <w:rPr>
          <w:sz w:val="18"/>
          <w:szCs w:val="18"/>
        </w:rPr>
        <w:t xml:space="preserve"> Rural Utilities Service, Electric Program, n.d. </w:t>
      </w:r>
      <w:r w:rsidR="727BFE15" w:rsidRPr="727BFE15">
        <w:rPr>
          <w:i/>
          <w:iCs/>
          <w:sz w:val="18"/>
          <w:szCs w:val="18"/>
        </w:rPr>
        <w:t xml:space="preserve">An Outline of the Regulation for the Energy Efficiency and Conservation Loan Program. </w:t>
      </w:r>
      <w:r w:rsidR="727BFE15">
        <w:rPr>
          <w:sz w:val="18"/>
          <w:szCs w:val="18"/>
        </w:rPr>
        <w:t xml:space="preserve">Washington, DC: U.S. Department of Agriculture. </w:t>
      </w:r>
      <w:r w:rsidR="727BFE15" w:rsidRPr="002F5826">
        <w:rPr>
          <w:sz w:val="18"/>
          <w:szCs w:val="18"/>
        </w:rPr>
        <w:t xml:space="preserve"> </w:t>
      </w:r>
      <w:hyperlink r:id="rId22" w:history="1">
        <w:r w:rsidR="727BFE15" w:rsidRPr="002F5826">
          <w:rPr>
            <w:rStyle w:val="Hyperlink"/>
            <w:sz w:val="18"/>
            <w:szCs w:val="18"/>
          </w:rPr>
          <w:t>https://www.rd.usda.gov/programs-services/electric-programs/energy-efficiency-and-conservation-loan-program</w:t>
        </w:r>
      </w:hyperlink>
      <w:r w:rsidR="727BFE15" w:rsidRPr="002F5826">
        <w:rPr>
          <w:sz w:val="18"/>
          <w:szCs w:val="18"/>
        </w:rPr>
        <w:t xml:space="preserve">. </w:t>
      </w:r>
    </w:p>
  </w:footnote>
  <w:footnote w:id="37">
    <w:p w14:paraId="0BCB9B21" w14:textId="739A3D5E" w:rsidR="002F5826" w:rsidRDefault="002F5826">
      <w:pPr>
        <w:pStyle w:val="FootnoteText"/>
      </w:pPr>
      <w:r>
        <w:rPr>
          <w:rStyle w:val="FootnoteReference"/>
        </w:rPr>
        <w:footnoteRef/>
      </w:r>
      <w:r>
        <w:t xml:space="preserve"> </w:t>
      </w:r>
      <w:r w:rsidRPr="0000606A">
        <w:t xml:space="preserve">For more information, see </w:t>
      </w:r>
      <w:hyperlink r:id="rId23" w:history="1">
        <w:r w:rsidRPr="0000606A">
          <w:rPr>
            <w:rStyle w:val="Hyperlink"/>
          </w:rPr>
          <w:t>https://www.energy.gov/lpo/renewable-energy-efficient-energy-projects-loan-guarantees</w:t>
        </w:r>
      </w:hyperlink>
    </w:p>
  </w:footnote>
  <w:footnote w:id="38">
    <w:p w14:paraId="7D6C424E" w14:textId="45E5B2C8" w:rsidR="00B15C55" w:rsidRDefault="00B15C55">
      <w:pPr>
        <w:pStyle w:val="FootnoteText"/>
      </w:pPr>
      <w:r>
        <w:rPr>
          <w:rStyle w:val="FootnoteReference"/>
        </w:rPr>
        <w:footnoteRef/>
      </w:r>
      <w:r>
        <w:t xml:space="preserve"> For more information, see </w:t>
      </w:r>
      <w:hyperlink r:id="rId24" w:history="1">
        <w:r w:rsidRPr="00564002">
          <w:rPr>
            <w:rStyle w:val="Hyperlink"/>
          </w:rPr>
          <w:t>https://ibank.ca.gov/climate-financing/climate-catalyst-program/</w:t>
        </w:r>
      </w:hyperlink>
    </w:p>
  </w:footnote>
  <w:footnote w:id="39">
    <w:p w14:paraId="497A85AB" w14:textId="2BCB44F0" w:rsidR="00E5047E" w:rsidRDefault="00E5047E">
      <w:pPr>
        <w:pStyle w:val="FootnoteText"/>
      </w:pPr>
      <w:r>
        <w:rPr>
          <w:rStyle w:val="FootnoteReference"/>
        </w:rPr>
        <w:footnoteRef/>
      </w:r>
      <w:r>
        <w:t xml:space="preserve"> </w:t>
      </w:r>
      <w:r w:rsidRPr="00E5047E">
        <w:t>This is the default Pay As You Save formula. The TECH team recommends that the Service Charge remain capped at no more than 80 of annual savings but the term may extend to the full expected life of the upgrade if the program incorporates operations and maintenance protections, as described below.</w:t>
      </w:r>
    </w:p>
  </w:footnote>
  <w:footnote w:id="40">
    <w:p w14:paraId="5E0CAF30" w14:textId="04B37576" w:rsidR="00236F3B" w:rsidRDefault="00236F3B">
      <w:pPr>
        <w:pStyle w:val="FootnoteText"/>
      </w:pPr>
      <w:r>
        <w:rPr>
          <w:rStyle w:val="FootnoteReference"/>
        </w:rPr>
        <w:footnoteRef/>
      </w:r>
      <w:r>
        <w:t xml:space="preserve"> SCE Application A.21-12-009</w:t>
      </w:r>
    </w:p>
  </w:footnote>
  <w:footnote w:id="41">
    <w:p w14:paraId="0D26995D" w14:textId="77777777" w:rsidR="000345CA" w:rsidRDefault="000345CA" w:rsidP="000345CA">
      <w:pPr>
        <w:pStyle w:val="FootnoteText"/>
      </w:pPr>
      <w:r w:rsidRPr="225CC3DB">
        <w:rPr>
          <w:rStyle w:val="FootnoteReference"/>
        </w:rPr>
        <w:footnoteRef/>
      </w:r>
      <w:r>
        <w:t xml:space="preserve"> California requires that the only notices attached to property record be authorized by statute. The state legislature authorized such a notice in the Water Bill Savings Act of 2017 (Senate Bill 564), and it would presumably need to repeat this authorization for building energy upgrades.</w:t>
      </w:r>
    </w:p>
  </w:footnote>
  <w:footnote w:id="42">
    <w:p w14:paraId="4543BD1B" w14:textId="23EEF0EB" w:rsidR="00260F7D" w:rsidRPr="0062564A" w:rsidRDefault="00260F7D">
      <w:pPr>
        <w:pStyle w:val="FootnoteText"/>
      </w:pPr>
      <w:r>
        <w:rPr>
          <w:rStyle w:val="FootnoteReference"/>
        </w:rPr>
        <w:footnoteRef/>
      </w:r>
      <w:r w:rsidR="727BFE15">
        <w:t xml:space="preserve"> CPUC, 2022. </w:t>
      </w:r>
      <w:r w:rsidR="727BFE15" w:rsidRPr="727BFE15">
        <w:rPr>
          <w:i/>
          <w:iCs/>
        </w:rPr>
        <w:t>Societal Cost Test Impact Evaluation: CPUC Staff Report on the Impact of a Societal Cost Test on Resource Procurement.</w:t>
      </w:r>
      <w:r w:rsidR="727BFE15" w:rsidRPr="006C5206">
        <w:t xml:space="preserve"> </w:t>
      </w:r>
      <w:hyperlink r:id="rId25" w:history="1">
        <w:r w:rsidR="727BFE15" w:rsidRPr="006C5206">
          <w:rPr>
            <w:rStyle w:val="Hyperlink"/>
          </w:rPr>
          <w:t>https://www.ethree.com/wp-content/uploads/2022/01/CPUC-SCT-Report-FINAL.pdf</w:t>
        </w:r>
      </w:hyperlink>
      <w:r w:rsidR="727BFE15" w:rsidRPr="006C5206">
        <w:t xml:space="preserve">. </w:t>
      </w:r>
    </w:p>
  </w:footnote>
  <w:footnote w:id="43">
    <w:p w14:paraId="0F7D074C" w14:textId="75C0E91B" w:rsidR="00373538" w:rsidRDefault="00373538" w:rsidP="00373538">
      <w:pPr>
        <w:pStyle w:val="FootnoteText"/>
      </w:pPr>
      <w:r>
        <w:rPr>
          <w:rStyle w:val="FootnoteReference"/>
        </w:rPr>
        <w:footnoteRef/>
      </w:r>
      <w:r w:rsidR="727BFE15">
        <w:t xml:space="preserve"> CPUC, 2020. Proceeding R.19-01-011, Decision D.20-03-027, adopted March 26, 2020. </w:t>
      </w:r>
      <w:hyperlink r:id="rId26">
        <w:r w:rsidR="727BFE15" w:rsidRPr="63124144">
          <w:rPr>
            <w:rStyle w:val="Hyperlink"/>
          </w:rPr>
          <w:t>http://docs.cpuc.ca.gov/PublishedDocs/Published/G000/M330/K031/330031291.PDF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5E4D" w14:textId="55F9E0B0" w:rsidR="00AE324B" w:rsidRDefault="00AE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7F24" w14:textId="6E2D92F5" w:rsidR="005E5EAE" w:rsidRDefault="005E5EAE">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85D32" w14:textId="5C6CD37A" w:rsidR="00AE324B" w:rsidRDefault="00AE324B">
    <w:pPr>
      <w:pStyle w:val="Header"/>
    </w:pPr>
  </w:p>
</w:hdr>
</file>

<file path=word/intelligence2.xml><?xml version="1.0" encoding="utf-8"?>
<int2:intelligence xmlns:int2="http://schemas.microsoft.com/office/intelligence/2020/intelligence" xmlns:oel="http://schemas.microsoft.com/office/2019/extlst">
  <int2:observations>
    <int2:textHash int2:hashCode="5oLK2NP9Ti2QTM" int2:id="tOHYFNMI">
      <int2:state int2:value="Rejected" int2:type="LegacyProofing"/>
    </int2:textHash>
    <int2:textHash int2:hashCode="5gTTEeoGoEkp6G" int2:id="8IwM2wNs"/>
    <int2:textHash int2:hashCode="UrEcc9hJ5rKTuF" int2:id="nO3tqS6A">
      <int2:state int2:value="Rejected" int2:type="LegacyProofing"/>
    </int2:textHash>
    <int2:textHash int2:hashCode="NMUasCD/J3Zxnk" int2:id="MhqH8V1C">
      <int2:state int2:value="Rejected" int2:type="AugLoop_Acronyms_AcronymsCritique"/>
    </int2:textHash>
    <int2:textHash int2:hashCode="egUaSiKMXHJWud" int2:id="8hV4CPEp">
      <int2:state int2:value="Rejected" int2:type="AugLoop_Acronyms_AcronymsCritique"/>
    </int2:textHash>
    <int2:textHash int2:hashCode="34QTodek9IQ2AW" int2:id="gRkIUTXf">
      <int2:state int2:value="Rejected" int2:type="AugLoop_Acronyms_AcronymsCritique"/>
    </int2:textHash>
    <int2:textHash int2:hashCode="BC3EUS+j05HFFw" int2:id="T6xja5kh">
      <int2:state int2:value="Rejected" int2:type="LegacyProofing"/>
    </int2:textHash>
    <int2:textHash int2:hashCode="Plov/7hzZYC+dM" int2:id="rIicWAea">
      <int2:state int2:value="Rejected" int2:type="AugLoop_Text_Critique"/>
    </int2:textHash>
    <int2:textHash int2:hashCode="RoHRJMxsS3O6q/" int2:id="RerUslQJ">
      <int2:state int2:value="Rejected" int2:type="AugLoop_Text_Critique"/>
    </int2:textHash>
    <int2:textHash int2:hashCode="zN/aofKdk/iUYF" int2:id="0cCh0xAa">
      <int2:state int2:value="Rejected" int2:type="LegacyProofing"/>
    </int2:textHash>
    <int2:textHash int2:hashCode="SNE7vUvxdZLXm5" int2:id="BTNhHvDA">
      <int2:state int2:value="Rejected" int2:type="LegacyProofing"/>
    </int2:textHash>
    <int2:textHash int2:hashCode="aHDjMImXy7zchs" int2:id="CapG76v2">
      <int2:state int2:value="Rejected" int2:type="LegacyProofing"/>
    </int2:textHash>
    <int2:textHash int2:hashCode="Q16vY6yYzmmSA2" int2:id="GmiDYKJ4">
      <int2:state int2:value="Rejected" int2:type="LegacyProofing"/>
    </int2:textHash>
    <int2:textHash int2:hashCode="3zE2Q2ZAQKaV9L" int2:id="S8ytjh5O">
      <int2:state int2:value="Rejected" int2:type="LegacyProofing"/>
    </int2:textHash>
    <int2:textHash int2:hashCode="Ot+fSn2L3gbNyk" int2:id="TVpg25jF">
      <int2:state int2:value="Rejected" int2:type="LegacyProofing"/>
    </int2:textHash>
    <int2:textHash int2:hashCode="8nKT49jmYjRN4R" int2:id="WEJlkwlo">
      <int2:state int2:value="Rejected" int2:type="LegacyProofing"/>
    </int2:textHash>
    <int2:textHash int2:hashCode="Vz5mRQ28x5eAz3" int2:id="Yo3IOKP6">
      <int2:state int2:value="Rejected" int2:type="LegacyProofing"/>
    </int2:textHash>
    <int2:textHash int2:hashCode="DcDD3LZeHJ/x4A" int2:id="Zr1yHQ8p">
      <int2:state int2:value="Rejected" int2:type="LegacyProofing"/>
    </int2:textHash>
    <int2:textHash int2:hashCode="axgzcfp+VvN9/I" int2:id="aYT8nnXA">
      <int2:state int2:value="Rejected" int2:type="LegacyProofing"/>
    </int2:textHash>
    <int2:textHash int2:hashCode="y6VPAQR07ASxdD" int2:id="nZnZmaAm">
      <int2:state int2:value="Rejected" int2:type="LegacyProofing"/>
    </int2:textHash>
    <int2:textHash int2:hashCode="nud2ad5ZOmBKIt" int2:id="nh8TDrNE">
      <int2:state int2:value="Rejected" int2:type="LegacyProofing"/>
    </int2:textHash>
    <int2:textHash int2:hashCode="dAlUMv0CiF4dv+" int2:id="opSkxTmW">
      <int2:state int2:value="Rejected" int2:type="LegacyProofing"/>
    </int2:textHash>
    <int2:textHash int2:hashCode="wdi3obB1CT42Z3" int2:id="sQI9KYDM">
      <int2:state int2:value="Rejected" int2:type="LegacyProofing"/>
    </int2:textHash>
    <int2:textHash int2:hashCode="4ha+6yMtyUWu4m" int2:id="u5ojMy7m">
      <int2:state int2:value="Rejected" int2:type="LegacyProofing"/>
    </int2:textHash>
    <int2:textHash int2:hashCode="Lk5JVKaWmga9uU" int2:id="yIzPSoou">
      <int2:state int2:value="Rejected" int2:type="LegacyProofing"/>
    </int2:textHash>
    <int2:textHash int2:hashCode="V0XLKUhyniwOkd" int2:id="yZTFkvOR">
      <int2:state int2:value="Rejected" int2:type="LegacyProofing"/>
    </int2:textHash>
    <int2:bookmark int2:bookmarkName="_Int_oqiJiosB" int2:invalidationBookmarkName="" int2:hashCode="4tzESko9ihb5dT" int2:id="DLpWqWyo">
      <int2:state int2:value="Reviewed" int2:type="WordDesignerSuggestedImageAnnotation"/>
    </int2:bookmark>
    <int2:bookmark int2:bookmarkName="_Int_vI3UHEJL" int2:invalidationBookmarkName="" int2:hashCode="BC3EUS+j05HFFw" int2:id="Wz49GTQu">
      <int2:state int2:value="Rejected" int2:type="LegacyProofing"/>
    </int2:bookmark>
    <int2:bookmark int2:bookmarkName="_Int_WARA1zdj" int2:invalidationBookmarkName="" int2:hashCode="BC3EUS+j05HFFw" int2:id="mrYkJvQ8">
      <int2:state int2:value="Rejected" int2:type="LegacyProofing"/>
    </int2:bookmark>
    <int2:bookmark int2:bookmarkName="_Int_8YseOtry" int2:invalidationBookmarkName="" int2:hashCode="BC3EUS+j05HFFw" int2:id="UkkQoHmU">
      <int2:state int2:value="Rejected" int2:type="LegacyProofing"/>
    </int2:bookmark>
    <int2:bookmark int2:bookmarkName="_Int_AHnHiNdd" int2:invalidationBookmarkName="" int2:hashCode="sfwYTVQ/Y+93J/" int2:id="e7IEZWB5">
      <int2:state int2:value="Rejected" int2:type="LegacyProofing"/>
    </int2:bookmark>
    <int2:bookmark int2:bookmarkName="_Int_tp54Exjh" int2:invalidationBookmarkName="" int2:hashCode="sfwYTVQ/Y+93J/" int2:id="QqoW6KO8">
      <int2:state int2:value="Rejected" int2:type="LegacyProofing"/>
    </int2:bookmark>
    <int2:bookmark int2:bookmarkName="_Int_rvlMaPSB" int2:invalidationBookmarkName="" int2:hashCode="6iIVeaq4PUWfpv" int2:id="qhm2DjDg">
      <int2:state int2:value="Rejected" int2:type="LegacyProofing"/>
    </int2:bookmark>
    <int2:bookmark int2:bookmarkName="_Int_C9SLj9V4" int2:invalidationBookmarkName="" int2:hashCode="6iIVeaq4PUWfpv" int2:id="fVlKhsay">
      <int2:state int2:value="Rejected" int2:type="LegacyProofing"/>
    </int2:bookmark>
    <int2:bookmark int2:bookmarkName="_Int_Vfe57Xlx" int2:invalidationBookmarkName="" int2:hashCode="6iIVeaq4PUWfpv" int2:id="fDTyCYS3">
      <int2:state int2:value="Rejected" int2:type="LegacyProofing"/>
    </int2:bookmark>
    <int2:bookmark int2:bookmarkName="_Int_JD5Pb3ih" int2:invalidationBookmarkName="" int2:hashCode="6iIVeaq4PUWfpv" int2:id="Zs5HIhyt">
      <int2:state int2:value="Rejected" int2:type="LegacyProofing"/>
    </int2:bookmark>
    <int2:bookmark int2:bookmarkName="_Int_xYIsvOJx" int2:invalidationBookmarkName="" int2:hashCode="6iIVeaq4PUWfpv" int2:id="z7093ySI">
      <int2:state int2:value="Rejected" int2:type="LegacyProofing"/>
    </int2:bookmark>
    <int2:bookmark int2:bookmarkName="_Int_slKYnRKd" int2:invalidationBookmarkName="" int2:hashCode="6iIVeaq4PUWfpv" int2:id="YEtwNpZ1">
      <int2:state int2:value="Rejected" int2:type="LegacyProofing"/>
    </int2:bookmark>
    <int2:bookmark int2:bookmarkName="_Int_VuVPMhnh" int2:invalidationBookmarkName="" int2:hashCode="BC3EUS+j05HFFw" int2:id="AD46e3EC">
      <int2:state int2:value="Rejected" int2:type="LegacyProofing"/>
    </int2:bookmark>
    <int2:bookmark int2:bookmarkName="_Int_RBb2UFSh" int2:invalidationBookmarkName="" int2:hashCode="51jl/QGzDNvFU1" int2:id="nXB6bRQ1">
      <int2:state int2:value="Rejected" int2:type="LegacyProofing"/>
    </int2:bookmark>
    <int2:bookmark int2:bookmarkName="_Int_cHOae3V4" int2:invalidationBookmarkName="" int2:hashCode="Kz4VUxFkyBY0Jb" int2:id="ZI56DbN6">
      <int2:state int2:value="Rejected" int2:type="LegacyProofing"/>
    </int2:bookmark>
    <int2:bookmark int2:bookmarkName="_Int_z8VPHwlq" int2:invalidationBookmarkName="" int2:hashCode="94gGADSKCRpD4q" int2:id="0swSUDvn">
      <int2:state int2:value="Rejected" int2:type="LegacyProofing"/>
    </int2:bookmark>
    <int2:bookmark int2:bookmarkName="_Int_JOuqsxhg" int2:invalidationBookmarkName="" int2:hashCode="nTGYX9qHsm1lVL" int2:id="7cedHEdO">
      <int2:state int2:value="Rejected" int2:type="LegacyProofing"/>
    </int2:bookmark>
    <int2:bookmark int2:bookmarkName="_Int_VVFt6r0R" int2:invalidationBookmarkName="" int2:hashCode="nTGYX9qHsm1lVL" int2:id="IaQj9tQ8">
      <int2:state int2:value="Rejected" int2:type="LegacyProofing"/>
    </int2:bookmark>
    <int2:bookmark int2:bookmarkName="_Int_2qlsODOe" int2:invalidationBookmarkName="" int2:hashCode="0JQeaNqPOBUf+G" int2:id="OSRuExWQ">
      <int2:state int2:value="Rejected" int2:type="LegacyProofing"/>
    </int2:bookmark>
    <int2:bookmark int2:bookmarkName="_Int_fIgnkaOa" int2:invalidationBookmarkName="" int2:hashCode="5+wyYpgrQLkFQ1" int2:id="ne0cdl9m">
      <int2:state int2:value="Rejected" int2:type="LegacyProofing"/>
    </int2:bookmark>
    <int2:bookmark int2:bookmarkName="_Int_j7DvUWBW" int2:invalidationBookmarkName="" int2:hashCode="yJanEF0mNCUN2Z" int2:id="ru9nVQeZ">
      <int2:state int2:value="Rejected" int2:type="LegacyProofing"/>
    </int2:bookmark>
    <int2:bookmark int2:bookmarkName="_Int_jRdj2yao" int2:invalidationBookmarkName="" int2:hashCode="5+wyYpgrQLkFQ1" int2:id="uc4QOdjs">
      <int2:state int2:value="Rejected" int2:type="LegacyProofing"/>
    </int2:bookmark>
    <int2:bookmark int2:bookmarkName="_Int_acM4mWu5" int2:invalidationBookmarkName="" int2:hashCode="nTGYX9qHsm1lVL" int2:id="uuPKDDO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90DF2"/>
    <w:multiLevelType w:val="hybridMultilevel"/>
    <w:tmpl w:val="610C640A"/>
    <w:lvl w:ilvl="0" w:tplc="FFFFFFFF">
      <w:start w:val="1"/>
      <w:numFmt w:val="decimal"/>
      <w:lvlText w:val="%1."/>
      <w:lvlJc w:val="left"/>
      <w:pPr>
        <w:ind w:left="720" w:hanging="360"/>
      </w:pPr>
    </w:lvl>
    <w:lvl w:ilvl="1" w:tplc="4852D6D6">
      <w:start w:val="1"/>
      <w:numFmt w:val="lowerLetter"/>
      <w:lvlText w:val="%2."/>
      <w:lvlJc w:val="left"/>
      <w:pPr>
        <w:ind w:left="1440" w:hanging="360"/>
      </w:pPr>
    </w:lvl>
    <w:lvl w:ilvl="2" w:tplc="778A6FBC">
      <w:start w:val="1"/>
      <w:numFmt w:val="lowerRoman"/>
      <w:lvlText w:val="%3."/>
      <w:lvlJc w:val="right"/>
      <w:pPr>
        <w:ind w:left="2160" w:hanging="180"/>
      </w:pPr>
    </w:lvl>
    <w:lvl w:ilvl="3" w:tplc="DD1C02E2">
      <w:start w:val="1"/>
      <w:numFmt w:val="decimal"/>
      <w:lvlText w:val="%4."/>
      <w:lvlJc w:val="left"/>
      <w:pPr>
        <w:ind w:left="2880" w:hanging="360"/>
      </w:pPr>
    </w:lvl>
    <w:lvl w:ilvl="4" w:tplc="DB12DD66">
      <w:start w:val="1"/>
      <w:numFmt w:val="lowerLetter"/>
      <w:lvlText w:val="%5."/>
      <w:lvlJc w:val="left"/>
      <w:pPr>
        <w:ind w:left="3600" w:hanging="360"/>
      </w:pPr>
    </w:lvl>
    <w:lvl w:ilvl="5" w:tplc="56CC64F6">
      <w:start w:val="1"/>
      <w:numFmt w:val="lowerRoman"/>
      <w:lvlText w:val="%6."/>
      <w:lvlJc w:val="right"/>
      <w:pPr>
        <w:ind w:left="4320" w:hanging="180"/>
      </w:pPr>
    </w:lvl>
    <w:lvl w:ilvl="6" w:tplc="B4E2D81A">
      <w:start w:val="1"/>
      <w:numFmt w:val="decimal"/>
      <w:lvlText w:val="%7."/>
      <w:lvlJc w:val="left"/>
      <w:pPr>
        <w:ind w:left="5040" w:hanging="360"/>
      </w:pPr>
    </w:lvl>
    <w:lvl w:ilvl="7" w:tplc="023E634C">
      <w:start w:val="1"/>
      <w:numFmt w:val="lowerLetter"/>
      <w:lvlText w:val="%8."/>
      <w:lvlJc w:val="left"/>
      <w:pPr>
        <w:ind w:left="5760" w:hanging="360"/>
      </w:pPr>
    </w:lvl>
    <w:lvl w:ilvl="8" w:tplc="C616D9FE">
      <w:start w:val="1"/>
      <w:numFmt w:val="lowerRoman"/>
      <w:lvlText w:val="%9."/>
      <w:lvlJc w:val="right"/>
      <w:pPr>
        <w:ind w:left="6480" w:hanging="180"/>
      </w:pPr>
    </w:lvl>
  </w:abstractNum>
  <w:abstractNum w:abstractNumId="1" w15:restartNumberingAfterBreak="0">
    <w:nsid w:val="06580FBA"/>
    <w:multiLevelType w:val="hybridMultilevel"/>
    <w:tmpl w:val="1E785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E2011"/>
    <w:multiLevelType w:val="hybridMultilevel"/>
    <w:tmpl w:val="D01E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D28C9"/>
    <w:multiLevelType w:val="hybridMultilevel"/>
    <w:tmpl w:val="C28C0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C0451"/>
    <w:multiLevelType w:val="hybridMultilevel"/>
    <w:tmpl w:val="9AAC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10AA9"/>
    <w:multiLevelType w:val="hybridMultilevel"/>
    <w:tmpl w:val="5900B230"/>
    <w:lvl w:ilvl="0" w:tplc="96048CCA">
      <w:start w:val="1"/>
      <w:numFmt w:val="bullet"/>
      <w:lvlText w:val=""/>
      <w:lvlJc w:val="left"/>
      <w:pPr>
        <w:tabs>
          <w:tab w:val="num" w:pos="720"/>
        </w:tabs>
        <w:ind w:left="720" w:hanging="360"/>
      </w:pPr>
      <w:rPr>
        <w:rFonts w:ascii="Symbol" w:hAnsi="Symbol" w:hint="default"/>
        <w:sz w:val="20"/>
      </w:rPr>
    </w:lvl>
    <w:lvl w:ilvl="1" w:tplc="AD8A247C">
      <w:start w:val="1"/>
      <w:numFmt w:val="bullet"/>
      <w:lvlText w:val="o"/>
      <w:lvlJc w:val="left"/>
      <w:pPr>
        <w:tabs>
          <w:tab w:val="num" w:pos="1440"/>
        </w:tabs>
        <w:ind w:left="1440" w:hanging="360"/>
      </w:pPr>
      <w:rPr>
        <w:rFonts w:ascii="Courier New" w:hAnsi="Courier New" w:hint="default"/>
        <w:sz w:val="20"/>
      </w:rPr>
    </w:lvl>
    <w:lvl w:ilvl="2" w:tplc="01CEA7F2" w:tentative="1">
      <w:start w:val="1"/>
      <w:numFmt w:val="bullet"/>
      <w:lvlText w:val=""/>
      <w:lvlJc w:val="left"/>
      <w:pPr>
        <w:tabs>
          <w:tab w:val="num" w:pos="2160"/>
        </w:tabs>
        <w:ind w:left="2160" w:hanging="360"/>
      </w:pPr>
      <w:rPr>
        <w:rFonts w:ascii="Wingdings" w:hAnsi="Wingdings" w:hint="default"/>
        <w:sz w:val="20"/>
      </w:rPr>
    </w:lvl>
    <w:lvl w:ilvl="3" w:tplc="A2425CC8" w:tentative="1">
      <w:start w:val="1"/>
      <w:numFmt w:val="bullet"/>
      <w:lvlText w:val=""/>
      <w:lvlJc w:val="left"/>
      <w:pPr>
        <w:tabs>
          <w:tab w:val="num" w:pos="2880"/>
        </w:tabs>
        <w:ind w:left="2880" w:hanging="360"/>
      </w:pPr>
      <w:rPr>
        <w:rFonts w:ascii="Wingdings" w:hAnsi="Wingdings" w:hint="default"/>
        <w:sz w:val="20"/>
      </w:rPr>
    </w:lvl>
    <w:lvl w:ilvl="4" w:tplc="B73E565C" w:tentative="1">
      <w:start w:val="1"/>
      <w:numFmt w:val="bullet"/>
      <w:lvlText w:val=""/>
      <w:lvlJc w:val="left"/>
      <w:pPr>
        <w:tabs>
          <w:tab w:val="num" w:pos="3600"/>
        </w:tabs>
        <w:ind w:left="3600" w:hanging="360"/>
      </w:pPr>
      <w:rPr>
        <w:rFonts w:ascii="Wingdings" w:hAnsi="Wingdings" w:hint="default"/>
        <w:sz w:val="20"/>
      </w:rPr>
    </w:lvl>
    <w:lvl w:ilvl="5" w:tplc="9AF09654" w:tentative="1">
      <w:start w:val="1"/>
      <w:numFmt w:val="bullet"/>
      <w:lvlText w:val=""/>
      <w:lvlJc w:val="left"/>
      <w:pPr>
        <w:tabs>
          <w:tab w:val="num" w:pos="4320"/>
        </w:tabs>
        <w:ind w:left="4320" w:hanging="360"/>
      </w:pPr>
      <w:rPr>
        <w:rFonts w:ascii="Wingdings" w:hAnsi="Wingdings" w:hint="default"/>
        <w:sz w:val="20"/>
      </w:rPr>
    </w:lvl>
    <w:lvl w:ilvl="6" w:tplc="C420A044" w:tentative="1">
      <w:start w:val="1"/>
      <w:numFmt w:val="bullet"/>
      <w:lvlText w:val=""/>
      <w:lvlJc w:val="left"/>
      <w:pPr>
        <w:tabs>
          <w:tab w:val="num" w:pos="5040"/>
        </w:tabs>
        <w:ind w:left="5040" w:hanging="360"/>
      </w:pPr>
      <w:rPr>
        <w:rFonts w:ascii="Wingdings" w:hAnsi="Wingdings" w:hint="default"/>
        <w:sz w:val="20"/>
      </w:rPr>
    </w:lvl>
    <w:lvl w:ilvl="7" w:tplc="CE9CADEE" w:tentative="1">
      <w:start w:val="1"/>
      <w:numFmt w:val="bullet"/>
      <w:lvlText w:val=""/>
      <w:lvlJc w:val="left"/>
      <w:pPr>
        <w:tabs>
          <w:tab w:val="num" w:pos="5760"/>
        </w:tabs>
        <w:ind w:left="5760" w:hanging="360"/>
      </w:pPr>
      <w:rPr>
        <w:rFonts w:ascii="Wingdings" w:hAnsi="Wingdings" w:hint="default"/>
        <w:sz w:val="20"/>
      </w:rPr>
    </w:lvl>
    <w:lvl w:ilvl="8" w:tplc="24E6E022"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331566"/>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A8632A4"/>
    <w:multiLevelType w:val="hybridMultilevel"/>
    <w:tmpl w:val="FFFFFFFF"/>
    <w:lvl w:ilvl="0" w:tplc="05829FC6">
      <w:start w:val="1"/>
      <w:numFmt w:val="bullet"/>
      <w:lvlText w:val=""/>
      <w:lvlJc w:val="left"/>
      <w:pPr>
        <w:ind w:left="720" w:hanging="360"/>
      </w:pPr>
      <w:rPr>
        <w:rFonts w:ascii="Symbol" w:hAnsi="Symbol" w:hint="default"/>
      </w:rPr>
    </w:lvl>
    <w:lvl w:ilvl="1" w:tplc="ED4AAFB4">
      <w:start w:val="1"/>
      <w:numFmt w:val="bullet"/>
      <w:lvlText w:val="o"/>
      <w:lvlJc w:val="left"/>
      <w:pPr>
        <w:ind w:left="1440" w:hanging="360"/>
      </w:pPr>
      <w:rPr>
        <w:rFonts w:ascii="Courier New" w:hAnsi="Courier New" w:hint="default"/>
      </w:rPr>
    </w:lvl>
    <w:lvl w:ilvl="2" w:tplc="1DAE07A8">
      <w:start w:val="1"/>
      <w:numFmt w:val="bullet"/>
      <w:lvlText w:val=""/>
      <w:lvlJc w:val="left"/>
      <w:pPr>
        <w:ind w:left="2160" w:hanging="360"/>
      </w:pPr>
      <w:rPr>
        <w:rFonts w:ascii="Wingdings" w:hAnsi="Wingdings" w:hint="default"/>
      </w:rPr>
    </w:lvl>
    <w:lvl w:ilvl="3" w:tplc="F5740A90">
      <w:start w:val="1"/>
      <w:numFmt w:val="bullet"/>
      <w:lvlText w:val=""/>
      <w:lvlJc w:val="left"/>
      <w:pPr>
        <w:ind w:left="2880" w:hanging="360"/>
      </w:pPr>
      <w:rPr>
        <w:rFonts w:ascii="Symbol" w:hAnsi="Symbol" w:hint="default"/>
      </w:rPr>
    </w:lvl>
    <w:lvl w:ilvl="4" w:tplc="70B66BD2">
      <w:start w:val="1"/>
      <w:numFmt w:val="bullet"/>
      <w:lvlText w:val="o"/>
      <w:lvlJc w:val="left"/>
      <w:pPr>
        <w:ind w:left="3600" w:hanging="360"/>
      </w:pPr>
      <w:rPr>
        <w:rFonts w:ascii="Courier New" w:hAnsi="Courier New" w:hint="default"/>
      </w:rPr>
    </w:lvl>
    <w:lvl w:ilvl="5" w:tplc="D140247A">
      <w:start w:val="1"/>
      <w:numFmt w:val="bullet"/>
      <w:lvlText w:val=""/>
      <w:lvlJc w:val="left"/>
      <w:pPr>
        <w:ind w:left="4320" w:hanging="360"/>
      </w:pPr>
      <w:rPr>
        <w:rFonts w:ascii="Wingdings" w:hAnsi="Wingdings" w:hint="default"/>
      </w:rPr>
    </w:lvl>
    <w:lvl w:ilvl="6" w:tplc="DD9C4956">
      <w:start w:val="1"/>
      <w:numFmt w:val="bullet"/>
      <w:lvlText w:val=""/>
      <w:lvlJc w:val="left"/>
      <w:pPr>
        <w:ind w:left="5040" w:hanging="360"/>
      </w:pPr>
      <w:rPr>
        <w:rFonts w:ascii="Symbol" w:hAnsi="Symbol" w:hint="default"/>
      </w:rPr>
    </w:lvl>
    <w:lvl w:ilvl="7" w:tplc="D8946464">
      <w:start w:val="1"/>
      <w:numFmt w:val="bullet"/>
      <w:lvlText w:val="o"/>
      <w:lvlJc w:val="left"/>
      <w:pPr>
        <w:ind w:left="5760" w:hanging="360"/>
      </w:pPr>
      <w:rPr>
        <w:rFonts w:ascii="Courier New" w:hAnsi="Courier New" w:hint="default"/>
      </w:rPr>
    </w:lvl>
    <w:lvl w:ilvl="8" w:tplc="D108DF7A">
      <w:start w:val="1"/>
      <w:numFmt w:val="bullet"/>
      <w:lvlText w:val=""/>
      <w:lvlJc w:val="left"/>
      <w:pPr>
        <w:ind w:left="6480" w:hanging="360"/>
      </w:pPr>
      <w:rPr>
        <w:rFonts w:ascii="Wingdings" w:hAnsi="Wingdings" w:hint="default"/>
      </w:rPr>
    </w:lvl>
  </w:abstractNum>
  <w:abstractNum w:abstractNumId="8" w15:restartNumberingAfterBreak="0">
    <w:nsid w:val="1BD03739"/>
    <w:multiLevelType w:val="hybridMultilevel"/>
    <w:tmpl w:val="897828FC"/>
    <w:lvl w:ilvl="0" w:tplc="B99667E2">
      <w:start w:val="1"/>
      <w:numFmt w:val="bullet"/>
      <w:lvlText w:val=""/>
      <w:lvlJc w:val="left"/>
      <w:pPr>
        <w:tabs>
          <w:tab w:val="num" w:pos="720"/>
        </w:tabs>
        <w:ind w:left="720" w:hanging="360"/>
      </w:pPr>
      <w:rPr>
        <w:rFonts w:ascii="Symbol" w:hAnsi="Symbol" w:hint="default"/>
        <w:sz w:val="20"/>
      </w:rPr>
    </w:lvl>
    <w:lvl w:ilvl="1" w:tplc="DF5EC44A" w:tentative="1">
      <w:start w:val="1"/>
      <w:numFmt w:val="bullet"/>
      <w:lvlText w:val="o"/>
      <w:lvlJc w:val="left"/>
      <w:pPr>
        <w:tabs>
          <w:tab w:val="num" w:pos="1440"/>
        </w:tabs>
        <w:ind w:left="1440" w:hanging="360"/>
      </w:pPr>
      <w:rPr>
        <w:rFonts w:ascii="Courier New" w:hAnsi="Courier New" w:hint="default"/>
        <w:sz w:val="20"/>
      </w:rPr>
    </w:lvl>
    <w:lvl w:ilvl="2" w:tplc="C08C547E" w:tentative="1">
      <w:start w:val="1"/>
      <w:numFmt w:val="bullet"/>
      <w:lvlText w:val=""/>
      <w:lvlJc w:val="left"/>
      <w:pPr>
        <w:tabs>
          <w:tab w:val="num" w:pos="2160"/>
        </w:tabs>
        <w:ind w:left="2160" w:hanging="360"/>
      </w:pPr>
      <w:rPr>
        <w:rFonts w:ascii="Wingdings" w:hAnsi="Wingdings" w:hint="default"/>
        <w:sz w:val="20"/>
      </w:rPr>
    </w:lvl>
    <w:lvl w:ilvl="3" w:tplc="BC8CCF3C" w:tentative="1">
      <w:start w:val="1"/>
      <w:numFmt w:val="bullet"/>
      <w:lvlText w:val=""/>
      <w:lvlJc w:val="left"/>
      <w:pPr>
        <w:tabs>
          <w:tab w:val="num" w:pos="2880"/>
        </w:tabs>
        <w:ind w:left="2880" w:hanging="360"/>
      </w:pPr>
      <w:rPr>
        <w:rFonts w:ascii="Wingdings" w:hAnsi="Wingdings" w:hint="default"/>
        <w:sz w:val="20"/>
      </w:rPr>
    </w:lvl>
    <w:lvl w:ilvl="4" w:tplc="BF16489E" w:tentative="1">
      <w:start w:val="1"/>
      <w:numFmt w:val="bullet"/>
      <w:lvlText w:val=""/>
      <w:lvlJc w:val="left"/>
      <w:pPr>
        <w:tabs>
          <w:tab w:val="num" w:pos="3600"/>
        </w:tabs>
        <w:ind w:left="3600" w:hanging="360"/>
      </w:pPr>
      <w:rPr>
        <w:rFonts w:ascii="Wingdings" w:hAnsi="Wingdings" w:hint="default"/>
        <w:sz w:val="20"/>
      </w:rPr>
    </w:lvl>
    <w:lvl w:ilvl="5" w:tplc="38ACA2A0" w:tentative="1">
      <w:start w:val="1"/>
      <w:numFmt w:val="bullet"/>
      <w:lvlText w:val=""/>
      <w:lvlJc w:val="left"/>
      <w:pPr>
        <w:tabs>
          <w:tab w:val="num" w:pos="4320"/>
        </w:tabs>
        <w:ind w:left="4320" w:hanging="360"/>
      </w:pPr>
      <w:rPr>
        <w:rFonts w:ascii="Wingdings" w:hAnsi="Wingdings" w:hint="default"/>
        <w:sz w:val="20"/>
      </w:rPr>
    </w:lvl>
    <w:lvl w:ilvl="6" w:tplc="62A02C94" w:tentative="1">
      <w:start w:val="1"/>
      <w:numFmt w:val="bullet"/>
      <w:lvlText w:val=""/>
      <w:lvlJc w:val="left"/>
      <w:pPr>
        <w:tabs>
          <w:tab w:val="num" w:pos="5040"/>
        </w:tabs>
        <w:ind w:left="5040" w:hanging="360"/>
      </w:pPr>
      <w:rPr>
        <w:rFonts w:ascii="Wingdings" w:hAnsi="Wingdings" w:hint="default"/>
        <w:sz w:val="20"/>
      </w:rPr>
    </w:lvl>
    <w:lvl w:ilvl="7" w:tplc="8740024E" w:tentative="1">
      <w:start w:val="1"/>
      <w:numFmt w:val="bullet"/>
      <w:lvlText w:val=""/>
      <w:lvlJc w:val="left"/>
      <w:pPr>
        <w:tabs>
          <w:tab w:val="num" w:pos="5760"/>
        </w:tabs>
        <w:ind w:left="5760" w:hanging="360"/>
      </w:pPr>
      <w:rPr>
        <w:rFonts w:ascii="Wingdings" w:hAnsi="Wingdings" w:hint="default"/>
        <w:sz w:val="20"/>
      </w:rPr>
    </w:lvl>
    <w:lvl w:ilvl="8" w:tplc="C12A0A4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9F3949"/>
    <w:multiLevelType w:val="hybridMultilevel"/>
    <w:tmpl w:val="FFFFFFFF"/>
    <w:lvl w:ilvl="0" w:tplc="E078EFF6">
      <w:start w:val="1"/>
      <w:numFmt w:val="bullet"/>
      <w:lvlText w:val=""/>
      <w:lvlJc w:val="left"/>
      <w:pPr>
        <w:ind w:left="720" w:hanging="360"/>
      </w:pPr>
      <w:rPr>
        <w:rFonts w:ascii="Symbol" w:hAnsi="Symbol" w:hint="default"/>
      </w:rPr>
    </w:lvl>
    <w:lvl w:ilvl="1" w:tplc="6E702A1A">
      <w:start w:val="1"/>
      <w:numFmt w:val="bullet"/>
      <w:lvlText w:val="o"/>
      <w:lvlJc w:val="left"/>
      <w:pPr>
        <w:ind w:left="1440" w:hanging="360"/>
      </w:pPr>
      <w:rPr>
        <w:rFonts w:ascii="Courier New" w:hAnsi="Courier New" w:hint="default"/>
      </w:rPr>
    </w:lvl>
    <w:lvl w:ilvl="2" w:tplc="9294CC0E">
      <w:start w:val="1"/>
      <w:numFmt w:val="bullet"/>
      <w:lvlText w:val=""/>
      <w:lvlJc w:val="left"/>
      <w:pPr>
        <w:ind w:left="2160" w:hanging="360"/>
      </w:pPr>
      <w:rPr>
        <w:rFonts w:ascii="Wingdings" w:hAnsi="Wingdings" w:hint="default"/>
      </w:rPr>
    </w:lvl>
    <w:lvl w:ilvl="3" w:tplc="BCB85C3A">
      <w:start w:val="1"/>
      <w:numFmt w:val="bullet"/>
      <w:lvlText w:val=""/>
      <w:lvlJc w:val="left"/>
      <w:pPr>
        <w:ind w:left="2880" w:hanging="360"/>
      </w:pPr>
      <w:rPr>
        <w:rFonts w:ascii="Symbol" w:hAnsi="Symbol" w:hint="default"/>
      </w:rPr>
    </w:lvl>
    <w:lvl w:ilvl="4" w:tplc="97FE9AD8">
      <w:start w:val="1"/>
      <w:numFmt w:val="bullet"/>
      <w:lvlText w:val="o"/>
      <w:lvlJc w:val="left"/>
      <w:pPr>
        <w:ind w:left="3600" w:hanging="360"/>
      </w:pPr>
      <w:rPr>
        <w:rFonts w:ascii="Courier New" w:hAnsi="Courier New" w:hint="default"/>
      </w:rPr>
    </w:lvl>
    <w:lvl w:ilvl="5" w:tplc="BD3C1EB8">
      <w:start w:val="1"/>
      <w:numFmt w:val="bullet"/>
      <w:lvlText w:val=""/>
      <w:lvlJc w:val="left"/>
      <w:pPr>
        <w:ind w:left="4320" w:hanging="360"/>
      </w:pPr>
      <w:rPr>
        <w:rFonts w:ascii="Wingdings" w:hAnsi="Wingdings" w:hint="default"/>
      </w:rPr>
    </w:lvl>
    <w:lvl w:ilvl="6" w:tplc="BFA84A92">
      <w:start w:val="1"/>
      <w:numFmt w:val="bullet"/>
      <w:lvlText w:val=""/>
      <w:lvlJc w:val="left"/>
      <w:pPr>
        <w:ind w:left="5040" w:hanging="360"/>
      </w:pPr>
      <w:rPr>
        <w:rFonts w:ascii="Symbol" w:hAnsi="Symbol" w:hint="default"/>
      </w:rPr>
    </w:lvl>
    <w:lvl w:ilvl="7" w:tplc="1458DE1A">
      <w:start w:val="1"/>
      <w:numFmt w:val="bullet"/>
      <w:lvlText w:val="o"/>
      <w:lvlJc w:val="left"/>
      <w:pPr>
        <w:ind w:left="5760" w:hanging="360"/>
      </w:pPr>
      <w:rPr>
        <w:rFonts w:ascii="Courier New" w:hAnsi="Courier New" w:hint="default"/>
      </w:rPr>
    </w:lvl>
    <w:lvl w:ilvl="8" w:tplc="06B817C6">
      <w:start w:val="1"/>
      <w:numFmt w:val="bullet"/>
      <w:lvlText w:val=""/>
      <w:lvlJc w:val="left"/>
      <w:pPr>
        <w:ind w:left="6480" w:hanging="360"/>
      </w:pPr>
      <w:rPr>
        <w:rFonts w:ascii="Wingdings" w:hAnsi="Wingdings" w:hint="default"/>
      </w:rPr>
    </w:lvl>
  </w:abstractNum>
  <w:abstractNum w:abstractNumId="10" w15:restartNumberingAfterBreak="0">
    <w:nsid w:val="1CB9168D"/>
    <w:multiLevelType w:val="hybridMultilevel"/>
    <w:tmpl w:val="935CB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409B6"/>
    <w:multiLevelType w:val="hybridMultilevel"/>
    <w:tmpl w:val="FFFFFFFF"/>
    <w:lvl w:ilvl="0" w:tplc="8D9E76CC">
      <w:start w:val="1"/>
      <w:numFmt w:val="bullet"/>
      <w:lvlText w:val="·"/>
      <w:lvlJc w:val="left"/>
      <w:pPr>
        <w:ind w:left="720" w:hanging="360"/>
      </w:pPr>
      <w:rPr>
        <w:rFonts w:ascii="Symbol" w:hAnsi="Symbol" w:hint="default"/>
      </w:rPr>
    </w:lvl>
    <w:lvl w:ilvl="1" w:tplc="E2CADE12">
      <w:start w:val="1"/>
      <w:numFmt w:val="bullet"/>
      <w:lvlText w:val="o"/>
      <w:lvlJc w:val="left"/>
      <w:pPr>
        <w:ind w:left="1440" w:hanging="360"/>
      </w:pPr>
      <w:rPr>
        <w:rFonts w:ascii="&quot;Courier New&quot;" w:hAnsi="&quot;Courier New&quot;" w:hint="default"/>
      </w:rPr>
    </w:lvl>
    <w:lvl w:ilvl="2" w:tplc="DA602608">
      <w:start w:val="1"/>
      <w:numFmt w:val="bullet"/>
      <w:lvlText w:val=""/>
      <w:lvlJc w:val="left"/>
      <w:pPr>
        <w:ind w:left="2160" w:hanging="360"/>
      </w:pPr>
      <w:rPr>
        <w:rFonts w:ascii="Wingdings" w:hAnsi="Wingdings" w:hint="default"/>
      </w:rPr>
    </w:lvl>
    <w:lvl w:ilvl="3" w:tplc="71C8A0AE">
      <w:start w:val="1"/>
      <w:numFmt w:val="bullet"/>
      <w:lvlText w:val=""/>
      <w:lvlJc w:val="left"/>
      <w:pPr>
        <w:ind w:left="2880" w:hanging="360"/>
      </w:pPr>
      <w:rPr>
        <w:rFonts w:ascii="Symbol" w:hAnsi="Symbol" w:hint="default"/>
      </w:rPr>
    </w:lvl>
    <w:lvl w:ilvl="4" w:tplc="9D762064">
      <w:start w:val="1"/>
      <w:numFmt w:val="bullet"/>
      <w:lvlText w:val="o"/>
      <w:lvlJc w:val="left"/>
      <w:pPr>
        <w:ind w:left="3600" w:hanging="360"/>
      </w:pPr>
      <w:rPr>
        <w:rFonts w:ascii="Courier New" w:hAnsi="Courier New" w:hint="default"/>
      </w:rPr>
    </w:lvl>
    <w:lvl w:ilvl="5" w:tplc="E286B57C">
      <w:start w:val="1"/>
      <w:numFmt w:val="bullet"/>
      <w:lvlText w:val=""/>
      <w:lvlJc w:val="left"/>
      <w:pPr>
        <w:ind w:left="4320" w:hanging="360"/>
      </w:pPr>
      <w:rPr>
        <w:rFonts w:ascii="Wingdings" w:hAnsi="Wingdings" w:hint="default"/>
      </w:rPr>
    </w:lvl>
    <w:lvl w:ilvl="6" w:tplc="C5746FA4">
      <w:start w:val="1"/>
      <w:numFmt w:val="bullet"/>
      <w:lvlText w:val=""/>
      <w:lvlJc w:val="left"/>
      <w:pPr>
        <w:ind w:left="5040" w:hanging="360"/>
      </w:pPr>
      <w:rPr>
        <w:rFonts w:ascii="Symbol" w:hAnsi="Symbol" w:hint="default"/>
      </w:rPr>
    </w:lvl>
    <w:lvl w:ilvl="7" w:tplc="5E28999E">
      <w:start w:val="1"/>
      <w:numFmt w:val="bullet"/>
      <w:lvlText w:val="o"/>
      <w:lvlJc w:val="left"/>
      <w:pPr>
        <w:ind w:left="5760" w:hanging="360"/>
      </w:pPr>
      <w:rPr>
        <w:rFonts w:ascii="Courier New" w:hAnsi="Courier New" w:hint="default"/>
      </w:rPr>
    </w:lvl>
    <w:lvl w:ilvl="8" w:tplc="E24C3108">
      <w:start w:val="1"/>
      <w:numFmt w:val="bullet"/>
      <w:lvlText w:val=""/>
      <w:lvlJc w:val="left"/>
      <w:pPr>
        <w:ind w:left="6480" w:hanging="360"/>
      </w:pPr>
      <w:rPr>
        <w:rFonts w:ascii="Wingdings" w:hAnsi="Wingdings" w:hint="default"/>
      </w:rPr>
    </w:lvl>
  </w:abstractNum>
  <w:abstractNum w:abstractNumId="12" w15:restartNumberingAfterBreak="0">
    <w:nsid w:val="200B7ADF"/>
    <w:multiLevelType w:val="hybridMultilevel"/>
    <w:tmpl w:val="44A4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80996"/>
    <w:multiLevelType w:val="hybridMultilevel"/>
    <w:tmpl w:val="038C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8154B1"/>
    <w:multiLevelType w:val="multilevel"/>
    <w:tmpl w:val="EB9E8AA0"/>
    <w:styleLink w:val="CurrentList1"/>
    <w:lvl w:ilvl="0">
      <w:start w:val="1"/>
      <w:numFmt w:val="bullet"/>
      <w:lvlText w:val=""/>
      <w:lvlJc w:val="left"/>
      <w:pPr>
        <w:ind w:left="72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8894C24"/>
    <w:multiLevelType w:val="hybridMultilevel"/>
    <w:tmpl w:val="AB72C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36647D"/>
    <w:multiLevelType w:val="multilevel"/>
    <w:tmpl w:val="75C2FC7E"/>
    <w:name w:val="WorkPlanHeads22"/>
    <w:lvl w:ilvl="0">
      <w:start w:val="1"/>
      <w:numFmt w:val="upperLetter"/>
      <w:suff w:val="space"/>
      <w:lvlText w:val="%1."/>
      <w:lvlJc w:val="left"/>
      <w:pPr>
        <w:ind w:left="216" w:hanging="216"/>
      </w:pPr>
      <w:rPr>
        <w:rFonts w:asciiTheme="majorHAnsi" w:hAnsiTheme="majorHAnsi" w:hint="default"/>
      </w:rPr>
    </w:lvl>
    <w:lvl w:ilvl="1">
      <w:start w:val="1"/>
      <w:numFmt w:val="none"/>
      <w:lvlText w:val="%2"/>
      <w:lvlJc w:val="left"/>
      <w:pPr>
        <w:ind w:left="1080" w:hanging="360"/>
      </w:pPr>
      <w:rPr>
        <w:rFonts w:hint="default"/>
      </w:rPr>
    </w:lvl>
    <w:lvl w:ilvl="2">
      <w:start w:val="1"/>
      <w:numFmt w:val="none"/>
      <w:lvlText w:val="%3"/>
      <w:lvlJc w:val="lef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0432A86"/>
    <w:multiLevelType w:val="hybridMultilevel"/>
    <w:tmpl w:val="06C657AA"/>
    <w:lvl w:ilvl="0" w:tplc="FC32CF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5A0424"/>
    <w:multiLevelType w:val="hybridMultilevel"/>
    <w:tmpl w:val="8B9C67A4"/>
    <w:lvl w:ilvl="0" w:tplc="986ABD1A">
      <w:start w:val="3300"/>
      <w:numFmt w:val="bullet"/>
      <w:pStyle w:val="ListParagraph"/>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76F5472"/>
    <w:multiLevelType w:val="hybridMultilevel"/>
    <w:tmpl w:val="E4E4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78115E"/>
    <w:multiLevelType w:val="hybridMultilevel"/>
    <w:tmpl w:val="6B984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53E0"/>
    <w:multiLevelType w:val="hybridMultilevel"/>
    <w:tmpl w:val="1AB63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4B25D4"/>
    <w:multiLevelType w:val="hybridMultilevel"/>
    <w:tmpl w:val="A29E0282"/>
    <w:lvl w:ilvl="0" w:tplc="0409000F">
      <w:start w:val="1"/>
      <w:numFmt w:val="decimal"/>
      <w:lvlText w:val="%1."/>
      <w:lvlJc w:val="left"/>
      <w:pPr>
        <w:ind w:left="720" w:hanging="360"/>
      </w:pPr>
    </w:lvl>
    <w:lvl w:ilvl="1" w:tplc="7114732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773300"/>
    <w:multiLevelType w:val="hybridMultilevel"/>
    <w:tmpl w:val="72ACB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3277D9"/>
    <w:multiLevelType w:val="hybridMultilevel"/>
    <w:tmpl w:val="3DAC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1B6EA2"/>
    <w:multiLevelType w:val="hybridMultilevel"/>
    <w:tmpl w:val="C240B350"/>
    <w:lvl w:ilvl="0" w:tplc="777AEF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7D26A6"/>
    <w:multiLevelType w:val="multilevel"/>
    <w:tmpl w:val="9CD06AB0"/>
    <w:name w:val="WorkPlanHeads2"/>
    <w:lvl w:ilvl="0">
      <w:start w:val="1"/>
      <w:numFmt w:val="upperLetter"/>
      <w:suff w:val="space"/>
      <w:lvlText w:val="%1."/>
      <w:lvlJc w:val="left"/>
      <w:pPr>
        <w:ind w:left="216" w:hanging="216"/>
      </w:pPr>
      <w:rPr>
        <w:rFonts w:asciiTheme="majorHAnsi" w:hAnsiTheme="majorHAnsi" w:hint="default"/>
      </w:rPr>
    </w:lvl>
    <w:lvl w:ilvl="1">
      <w:start w:val="1"/>
      <w:numFmt w:val="none"/>
      <w:lvlText w:val="%2"/>
      <w:lvlJc w:val="left"/>
      <w:pPr>
        <w:ind w:left="1080" w:hanging="360"/>
      </w:pPr>
      <w:rPr>
        <w:rFonts w:hint="default"/>
      </w:rPr>
    </w:lvl>
    <w:lvl w:ilvl="2">
      <w:start w:val="1"/>
      <w:numFmt w:val="none"/>
      <w:lvlText w:val="%3"/>
      <w:lvlJc w:val="left"/>
      <w:pPr>
        <w:ind w:left="1440" w:hanging="360"/>
      </w:pPr>
      <w:rPr>
        <w:rFont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7" w15:restartNumberingAfterBreak="0">
    <w:nsid w:val="3DE672F3"/>
    <w:multiLevelType w:val="hybridMultilevel"/>
    <w:tmpl w:val="47085976"/>
    <w:lvl w:ilvl="0" w:tplc="87043AE2">
      <w:start w:val="1"/>
      <w:numFmt w:val="bullet"/>
      <w:lvlText w:val=""/>
      <w:lvlJc w:val="left"/>
      <w:pPr>
        <w:tabs>
          <w:tab w:val="num" w:pos="720"/>
        </w:tabs>
        <w:ind w:left="720" w:hanging="360"/>
      </w:pPr>
      <w:rPr>
        <w:rFonts w:ascii="Symbol" w:hAnsi="Symbol" w:hint="default"/>
        <w:sz w:val="20"/>
      </w:rPr>
    </w:lvl>
    <w:lvl w:ilvl="1" w:tplc="64DCC972" w:tentative="1">
      <w:start w:val="1"/>
      <w:numFmt w:val="bullet"/>
      <w:lvlText w:val="o"/>
      <w:lvlJc w:val="left"/>
      <w:pPr>
        <w:tabs>
          <w:tab w:val="num" w:pos="1440"/>
        </w:tabs>
        <w:ind w:left="1440" w:hanging="360"/>
      </w:pPr>
      <w:rPr>
        <w:rFonts w:ascii="Courier New" w:hAnsi="Courier New" w:hint="default"/>
        <w:sz w:val="20"/>
      </w:rPr>
    </w:lvl>
    <w:lvl w:ilvl="2" w:tplc="BBD0A8E0" w:tentative="1">
      <w:start w:val="1"/>
      <w:numFmt w:val="bullet"/>
      <w:lvlText w:val=""/>
      <w:lvlJc w:val="left"/>
      <w:pPr>
        <w:tabs>
          <w:tab w:val="num" w:pos="2160"/>
        </w:tabs>
        <w:ind w:left="2160" w:hanging="360"/>
      </w:pPr>
      <w:rPr>
        <w:rFonts w:ascii="Wingdings" w:hAnsi="Wingdings" w:hint="default"/>
        <w:sz w:val="20"/>
      </w:rPr>
    </w:lvl>
    <w:lvl w:ilvl="3" w:tplc="3D788E80" w:tentative="1">
      <w:start w:val="1"/>
      <w:numFmt w:val="bullet"/>
      <w:lvlText w:val=""/>
      <w:lvlJc w:val="left"/>
      <w:pPr>
        <w:tabs>
          <w:tab w:val="num" w:pos="2880"/>
        </w:tabs>
        <w:ind w:left="2880" w:hanging="360"/>
      </w:pPr>
      <w:rPr>
        <w:rFonts w:ascii="Wingdings" w:hAnsi="Wingdings" w:hint="default"/>
        <w:sz w:val="20"/>
      </w:rPr>
    </w:lvl>
    <w:lvl w:ilvl="4" w:tplc="704E0114" w:tentative="1">
      <w:start w:val="1"/>
      <w:numFmt w:val="bullet"/>
      <w:lvlText w:val=""/>
      <w:lvlJc w:val="left"/>
      <w:pPr>
        <w:tabs>
          <w:tab w:val="num" w:pos="3600"/>
        </w:tabs>
        <w:ind w:left="3600" w:hanging="360"/>
      </w:pPr>
      <w:rPr>
        <w:rFonts w:ascii="Wingdings" w:hAnsi="Wingdings" w:hint="default"/>
        <w:sz w:val="20"/>
      </w:rPr>
    </w:lvl>
    <w:lvl w:ilvl="5" w:tplc="B838CC9A" w:tentative="1">
      <w:start w:val="1"/>
      <w:numFmt w:val="bullet"/>
      <w:lvlText w:val=""/>
      <w:lvlJc w:val="left"/>
      <w:pPr>
        <w:tabs>
          <w:tab w:val="num" w:pos="4320"/>
        </w:tabs>
        <w:ind w:left="4320" w:hanging="360"/>
      </w:pPr>
      <w:rPr>
        <w:rFonts w:ascii="Wingdings" w:hAnsi="Wingdings" w:hint="default"/>
        <w:sz w:val="20"/>
      </w:rPr>
    </w:lvl>
    <w:lvl w:ilvl="6" w:tplc="B3B6CA24" w:tentative="1">
      <w:start w:val="1"/>
      <w:numFmt w:val="bullet"/>
      <w:lvlText w:val=""/>
      <w:lvlJc w:val="left"/>
      <w:pPr>
        <w:tabs>
          <w:tab w:val="num" w:pos="5040"/>
        </w:tabs>
        <w:ind w:left="5040" w:hanging="360"/>
      </w:pPr>
      <w:rPr>
        <w:rFonts w:ascii="Wingdings" w:hAnsi="Wingdings" w:hint="default"/>
        <w:sz w:val="20"/>
      </w:rPr>
    </w:lvl>
    <w:lvl w:ilvl="7" w:tplc="686C6618" w:tentative="1">
      <w:start w:val="1"/>
      <w:numFmt w:val="bullet"/>
      <w:lvlText w:val=""/>
      <w:lvlJc w:val="left"/>
      <w:pPr>
        <w:tabs>
          <w:tab w:val="num" w:pos="5760"/>
        </w:tabs>
        <w:ind w:left="5760" w:hanging="360"/>
      </w:pPr>
      <w:rPr>
        <w:rFonts w:ascii="Wingdings" w:hAnsi="Wingdings" w:hint="default"/>
        <w:sz w:val="20"/>
      </w:rPr>
    </w:lvl>
    <w:lvl w:ilvl="8" w:tplc="1DE669E4"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93783F"/>
    <w:multiLevelType w:val="hybridMultilevel"/>
    <w:tmpl w:val="BE9AA236"/>
    <w:lvl w:ilvl="0" w:tplc="8C842ACE">
      <w:start w:val="1"/>
      <w:numFmt w:val="bullet"/>
      <w:lvlText w:val=""/>
      <w:lvlJc w:val="left"/>
      <w:pPr>
        <w:ind w:left="720" w:hanging="360"/>
      </w:pPr>
      <w:rPr>
        <w:rFonts w:ascii="Symbol" w:hAnsi="Symbol" w:hint="default"/>
      </w:rPr>
    </w:lvl>
    <w:lvl w:ilvl="1" w:tplc="873EF624">
      <w:start w:val="1"/>
      <w:numFmt w:val="bullet"/>
      <w:lvlText w:val="o"/>
      <w:lvlJc w:val="left"/>
      <w:pPr>
        <w:ind w:left="1440" w:hanging="360"/>
      </w:pPr>
      <w:rPr>
        <w:rFonts w:ascii="Courier New" w:hAnsi="Courier New" w:hint="default"/>
      </w:rPr>
    </w:lvl>
    <w:lvl w:ilvl="2" w:tplc="8066406E">
      <w:start w:val="1"/>
      <w:numFmt w:val="bullet"/>
      <w:lvlText w:val=""/>
      <w:lvlJc w:val="left"/>
      <w:pPr>
        <w:ind w:left="2160" w:hanging="360"/>
      </w:pPr>
      <w:rPr>
        <w:rFonts w:ascii="Wingdings" w:hAnsi="Wingdings" w:hint="default"/>
      </w:rPr>
    </w:lvl>
    <w:lvl w:ilvl="3" w:tplc="2B12B8B2">
      <w:start w:val="1"/>
      <w:numFmt w:val="bullet"/>
      <w:lvlText w:val=""/>
      <w:lvlJc w:val="left"/>
      <w:pPr>
        <w:ind w:left="2880" w:hanging="360"/>
      </w:pPr>
      <w:rPr>
        <w:rFonts w:ascii="Symbol" w:hAnsi="Symbol" w:hint="default"/>
      </w:rPr>
    </w:lvl>
    <w:lvl w:ilvl="4" w:tplc="3166A5E0">
      <w:start w:val="1"/>
      <w:numFmt w:val="bullet"/>
      <w:lvlText w:val="o"/>
      <w:lvlJc w:val="left"/>
      <w:pPr>
        <w:ind w:left="3600" w:hanging="360"/>
      </w:pPr>
      <w:rPr>
        <w:rFonts w:ascii="Courier New" w:hAnsi="Courier New" w:hint="default"/>
      </w:rPr>
    </w:lvl>
    <w:lvl w:ilvl="5" w:tplc="F086EF84">
      <w:start w:val="1"/>
      <w:numFmt w:val="bullet"/>
      <w:lvlText w:val=""/>
      <w:lvlJc w:val="left"/>
      <w:pPr>
        <w:ind w:left="4320" w:hanging="360"/>
      </w:pPr>
      <w:rPr>
        <w:rFonts w:ascii="Wingdings" w:hAnsi="Wingdings" w:hint="default"/>
      </w:rPr>
    </w:lvl>
    <w:lvl w:ilvl="6" w:tplc="5CC8DFA2">
      <w:start w:val="1"/>
      <w:numFmt w:val="bullet"/>
      <w:lvlText w:val=""/>
      <w:lvlJc w:val="left"/>
      <w:pPr>
        <w:ind w:left="5040" w:hanging="360"/>
      </w:pPr>
      <w:rPr>
        <w:rFonts w:ascii="Symbol" w:hAnsi="Symbol" w:hint="default"/>
      </w:rPr>
    </w:lvl>
    <w:lvl w:ilvl="7" w:tplc="EA648856">
      <w:start w:val="1"/>
      <w:numFmt w:val="bullet"/>
      <w:lvlText w:val="o"/>
      <w:lvlJc w:val="left"/>
      <w:pPr>
        <w:ind w:left="5760" w:hanging="360"/>
      </w:pPr>
      <w:rPr>
        <w:rFonts w:ascii="Courier New" w:hAnsi="Courier New" w:hint="default"/>
      </w:rPr>
    </w:lvl>
    <w:lvl w:ilvl="8" w:tplc="B2725AB0">
      <w:start w:val="1"/>
      <w:numFmt w:val="bullet"/>
      <w:lvlText w:val=""/>
      <w:lvlJc w:val="left"/>
      <w:pPr>
        <w:ind w:left="6480" w:hanging="360"/>
      </w:pPr>
      <w:rPr>
        <w:rFonts w:ascii="Wingdings" w:hAnsi="Wingdings" w:hint="default"/>
      </w:rPr>
    </w:lvl>
  </w:abstractNum>
  <w:abstractNum w:abstractNumId="29" w15:restartNumberingAfterBreak="0">
    <w:nsid w:val="44A24794"/>
    <w:multiLevelType w:val="hybridMultilevel"/>
    <w:tmpl w:val="88824F1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66606B3"/>
    <w:multiLevelType w:val="hybridMultilevel"/>
    <w:tmpl w:val="601EB4AC"/>
    <w:lvl w:ilvl="0" w:tplc="D834C4B4">
      <w:start w:val="1"/>
      <w:numFmt w:val="decimal"/>
      <w:lvlText w:val="%1."/>
      <w:lvlJc w:val="left"/>
      <w:pPr>
        <w:ind w:left="720" w:hanging="360"/>
      </w:pPr>
    </w:lvl>
    <w:lvl w:ilvl="1" w:tplc="B59A62EA">
      <w:start w:val="1"/>
      <w:numFmt w:val="lowerLetter"/>
      <w:lvlText w:val="%2."/>
      <w:lvlJc w:val="left"/>
      <w:pPr>
        <w:ind w:left="1440" w:hanging="360"/>
      </w:pPr>
    </w:lvl>
    <w:lvl w:ilvl="2" w:tplc="281AE666">
      <w:start w:val="1"/>
      <w:numFmt w:val="lowerRoman"/>
      <w:lvlText w:val="%3."/>
      <w:lvlJc w:val="right"/>
      <w:pPr>
        <w:ind w:left="2160" w:hanging="180"/>
      </w:pPr>
    </w:lvl>
    <w:lvl w:ilvl="3" w:tplc="6C3E09DE">
      <w:start w:val="1"/>
      <w:numFmt w:val="decimal"/>
      <w:lvlText w:val="%4."/>
      <w:lvlJc w:val="left"/>
      <w:pPr>
        <w:ind w:left="2880" w:hanging="360"/>
      </w:pPr>
    </w:lvl>
    <w:lvl w:ilvl="4" w:tplc="FC144E86">
      <w:start w:val="1"/>
      <w:numFmt w:val="lowerLetter"/>
      <w:lvlText w:val="%5."/>
      <w:lvlJc w:val="left"/>
      <w:pPr>
        <w:ind w:left="3600" w:hanging="360"/>
      </w:pPr>
    </w:lvl>
    <w:lvl w:ilvl="5" w:tplc="C1820F0A">
      <w:start w:val="1"/>
      <w:numFmt w:val="lowerRoman"/>
      <w:lvlText w:val="%6."/>
      <w:lvlJc w:val="right"/>
      <w:pPr>
        <w:ind w:left="4320" w:hanging="180"/>
      </w:pPr>
    </w:lvl>
    <w:lvl w:ilvl="6" w:tplc="5F68B594">
      <w:start w:val="1"/>
      <w:numFmt w:val="decimal"/>
      <w:lvlText w:val="%7."/>
      <w:lvlJc w:val="left"/>
      <w:pPr>
        <w:ind w:left="5040" w:hanging="360"/>
      </w:pPr>
    </w:lvl>
    <w:lvl w:ilvl="7" w:tplc="87A09F8C">
      <w:start w:val="1"/>
      <w:numFmt w:val="lowerLetter"/>
      <w:lvlText w:val="%8."/>
      <w:lvlJc w:val="left"/>
      <w:pPr>
        <w:ind w:left="5760" w:hanging="360"/>
      </w:pPr>
    </w:lvl>
    <w:lvl w:ilvl="8" w:tplc="57A250B4">
      <w:start w:val="1"/>
      <w:numFmt w:val="lowerRoman"/>
      <w:lvlText w:val="%9."/>
      <w:lvlJc w:val="right"/>
      <w:pPr>
        <w:ind w:left="6480" w:hanging="180"/>
      </w:pPr>
    </w:lvl>
  </w:abstractNum>
  <w:abstractNum w:abstractNumId="31" w15:restartNumberingAfterBreak="0">
    <w:nsid w:val="49A1764F"/>
    <w:multiLevelType w:val="hybridMultilevel"/>
    <w:tmpl w:val="2B3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AF6185"/>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4E694A39"/>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E9B4979"/>
    <w:multiLevelType w:val="hybridMultilevel"/>
    <w:tmpl w:val="FB44F4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A43678"/>
    <w:multiLevelType w:val="multilevel"/>
    <w:tmpl w:val="09C66524"/>
    <w:lvl w:ilvl="0">
      <w:start w:val="1"/>
      <w:numFmt w:val="upperLetter"/>
      <w:lvlText w:val="%1."/>
      <w:lvlJc w:val="left"/>
      <w:pPr>
        <w:ind w:left="0" w:firstLine="0"/>
      </w:pPr>
      <w:rPr>
        <w:rFonts w:ascii="Century Gothic" w:hAnsi="Century Gothic"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6" w15:restartNumberingAfterBreak="0">
    <w:nsid w:val="4EEB47C6"/>
    <w:multiLevelType w:val="hybridMultilevel"/>
    <w:tmpl w:val="94448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041322"/>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511A15FB"/>
    <w:multiLevelType w:val="multilevel"/>
    <w:tmpl w:val="9738DEA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51557790"/>
    <w:multiLevelType w:val="hybridMultilevel"/>
    <w:tmpl w:val="6B984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A926DE"/>
    <w:multiLevelType w:val="hybridMultilevel"/>
    <w:tmpl w:val="AADE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45D61"/>
    <w:multiLevelType w:val="hybridMultilevel"/>
    <w:tmpl w:val="5AA0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3A7D6B"/>
    <w:multiLevelType w:val="hybridMultilevel"/>
    <w:tmpl w:val="FFFFFFFF"/>
    <w:lvl w:ilvl="0" w:tplc="9022F8C8">
      <w:start w:val="1"/>
      <w:numFmt w:val="bullet"/>
      <w:lvlText w:val=""/>
      <w:lvlJc w:val="left"/>
      <w:pPr>
        <w:ind w:left="720" w:hanging="360"/>
      </w:pPr>
      <w:rPr>
        <w:rFonts w:ascii="Symbol" w:hAnsi="Symbol" w:hint="default"/>
      </w:rPr>
    </w:lvl>
    <w:lvl w:ilvl="1" w:tplc="BC98832C">
      <w:start w:val="1"/>
      <w:numFmt w:val="bullet"/>
      <w:lvlText w:val="o"/>
      <w:lvlJc w:val="left"/>
      <w:pPr>
        <w:ind w:left="1440" w:hanging="360"/>
      </w:pPr>
      <w:rPr>
        <w:rFonts w:ascii="Courier New" w:hAnsi="Courier New" w:hint="default"/>
      </w:rPr>
    </w:lvl>
    <w:lvl w:ilvl="2" w:tplc="D81422CC">
      <w:start w:val="1"/>
      <w:numFmt w:val="bullet"/>
      <w:lvlText w:val=""/>
      <w:lvlJc w:val="left"/>
      <w:pPr>
        <w:ind w:left="2160" w:hanging="360"/>
      </w:pPr>
      <w:rPr>
        <w:rFonts w:ascii="Wingdings" w:hAnsi="Wingdings" w:hint="default"/>
      </w:rPr>
    </w:lvl>
    <w:lvl w:ilvl="3" w:tplc="2F568334">
      <w:start w:val="1"/>
      <w:numFmt w:val="bullet"/>
      <w:lvlText w:val=""/>
      <w:lvlJc w:val="left"/>
      <w:pPr>
        <w:ind w:left="2880" w:hanging="360"/>
      </w:pPr>
      <w:rPr>
        <w:rFonts w:ascii="Symbol" w:hAnsi="Symbol" w:hint="default"/>
      </w:rPr>
    </w:lvl>
    <w:lvl w:ilvl="4" w:tplc="D08295C0">
      <w:start w:val="1"/>
      <w:numFmt w:val="bullet"/>
      <w:lvlText w:val="o"/>
      <w:lvlJc w:val="left"/>
      <w:pPr>
        <w:ind w:left="3600" w:hanging="360"/>
      </w:pPr>
      <w:rPr>
        <w:rFonts w:ascii="Courier New" w:hAnsi="Courier New" w:hint="default"/>
      </w:rPr>
    </w:lvl>
    <w:lvl w:ilvl="5" w:tplc="85744B64">
      <w:start w:val="1"/>
      <w:numFmt w:val="bullet"/>
      <w:lvlText w:val=""/>
      <w:lvlJc w:val="left"/>
      <w:pPr>
        <w:ind w:left="4320" w:hanging="360"/>
      </w:pPr>
      <w:rPr>
        <w:rFonts w:ascii="Wingdings" w:hAnsi="Wingdings" w:hint="default"/>
      </w:rPr>
    </w:lvl>
    <w:lvl w:ilvl="6" w:tplc="88B89380">
      <w:start w:val="1"/>
      <w:numFmt w:val="bullet"/>
      <w:lvlText w:val=""/>
      <w:lvlJc w:val="left"/>
      <w:pPr>
        <w:ind w:left="5040" w:hanging="360"/>
      </w:pPr>
      <w:rPr>
        <w:rFonts w:ascii="Symbol" w:hAnsi="Symbol" w:hint="default"/>
      </w:rPr>
    </w:lvl>
    <w:lvl w:ilvl="7" w:tplc="27F2DCFA">
      <w:start w:val="1"/>
      <w:numFmt w:val="bullet"/>
      <w:lvlText w:val="o"/>
      <w:lvlJc w:val="left"/>
      <w:pPr>
        <w:ind w:left="5760" w:hanging="360"/>
      </w:pPr>
      <w:rPr>
        <w:rFonts w:ascii="Courier New" w:hAnsi="Courier New" w:hint="default"/>
      </w:rPr>
    </w:lvl>
    <w:lvl w:ilvl="8" w:tplc="26061158">
      <w:start w:val="1"/>
      <w:numFmt w:val="bullet"/>
      <w:lvlText w:val=""/>
      <w:lvlJc w:val="left"/>
      <w:pPr>
        <w:ind w:left="6480" w:hanging="360"/>
      </w:pPr>
      <w:rPr>
        <w:rFonts w:ascii="Wingdings" w:hAnsi="Wingdings" w:hint="default"/>
      </w:rPr>
    </w:lvl>
  </w:abstractNum>
  <w:abstractNum w:abstractNumId="43" w15:restartNumberingAfterBreak="0">
    <w:nsid w:val="583B0908"/>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5885220D"/>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947499A"/>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609E4928"/>
    <w:multiLevelType w:val="hybridMultilevel"/>
    <w:tmpl w:val="8F42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007F73"/>
    <w:multiLevelType w:val="hybridMultilevel"/>
    <w:tmpl w:val="915E5820"/>
    <w:lvl w:ilvl="0" w:tplc="263C1EA0">
      <w:start w:val="1"/>
      <w:numFmt w:val="bullet"/>
      <w:pStyle w:val="BulletedList"/>
      <w:lvlText w:val=""/>
      <w:lvlJc w:val="left"/>
      <w:pPr>
        <w:ind w:left="57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DD2ABB"/>
    <w:multiLevelType w:val="hybridMultilevel"/>
    <w:tmpl w:val="05C4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1F616B"/>
    <w:multiLevelType w:val="hybridMultilevel"/>
    <w:tmpl w:val="265C1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8DE63CD"/>
    <w:multiLevelType w:val="hybridMultilevel"/>
    <w:tmpl w:val="43AA1E42"/>
    <w:lvl w:ilvl="0" w:tplc="B39849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9C5C96"/>
    <w:multiLevelType w:val="hybridMultilevel"/>
    <w:tmpl w:val="8D3841EE"/>
    <w:lvl w:ilvl="0" w:tplc="B1046D74">
      <w:start w:val="1"/>
      <w:numFmt w:val="bullet"/>
      <w:pStyle w:val="Table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C61073"/>
    <w:multiLevelType w:val="hybridMultilevel"/>
    <w:tmpl w:val="8F66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9F122DD"/>
    <w:multiLevelType w:val="hybridMultilevel"/>
    <w:tmpl w:val="45567534"/>
    <w:lvl w:ilvl="0" w:tplc="B01CD21C">
      <w:start w:val="1"/>
      <w:numFmt w:val="bullet"/>
      <w:pStyle w:val="Quote"/>
      <w:lvlText w:val="“"/>
      <w:lvlJc w:val="left"/>
      <w:pPr>
        <w:ind w:left="1584" w:hanging="360"/>
      </w:pPr>
      <w:rPr>
        <w:rFonts w:ascii="Constantia" w:hAnsi="Constantia" w:hint="default"/>
        <w:b/>
        <w:i w:val="0"/>
        <w:color w:val="0AC3EF" w:themeColor="accent1"/>
        <w:w w:val="100"/>
        <w:position w:val="-28"/>
        <w:sz w:val="56"/>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4" w15:restartNumberingAfterBreak="0">
    <w:nsid w:val="6D174886"/>
    <w:multiLevelType w:val="hybridMultilevel"/>
    <w:tmpl w:val="FFFFFFFF"/>
    <w:lvl w:ilvl="0" w:tplc="FCC006F0">
      <w:start w:val="1"/>
      <w:numFmt w:val="bullet"/>
      <w:lvlText w:val=""/>
      <w:lvlJc w:val="left"/>
      <w:pPr>
        <w:ind w:left="720" w:hanging="360"/>
      </w:pPr>
      <w:rPr>
        <w:rFonts w:ascii="Symbol" w:hAnsi="Symbol" w:hint="default"/>
      </w:rPr>
    </w:lvl>
    <w:lvl w:ilvl="1" w:tplc="A6A479AE">
      <w:start w:val="1"/>
      <w:numFmt w:val="bullet"/>
      <w:lvlText w:val="o"/>
      <w:lvlJc w:val="left"/>
      <w:pPr>
        <w:ind w:left="1440" w:hanging="360"/>
      </w:pPr>
      <w:rPr>
        <w:rFonts w:ascii="Courier New" w:hAnsi="Courier New" w:hint="default"/>
      </w:rPr>
    </w:lvl>
    <w:lvl w:ilvl="2" w:tplc="9918C858">
      <w:start w:val="1"/>
      <w:numFmt w:val="bullet"/>
      <w:lvlText w:val=""/>
      <w:lvlJc w:val="left"/>
      <w:pPr>
        <w:ind w:left="2160" w:hanging="360"/>
      </w:pPr>
      <w:rPr>
        <w:rFonts w:ascii="Wingdings" w:hAnsi="Wingdings" w:hint="default"/>
      </w:rPr>
    </w:lvl>
    <w:lvl w:ilvl="3" w:tplc="5D8AEC02">
      <w:start w:val="1"/>
      <w:numFmt w:val="bullet"/>
      <w:lvlText w:val=""/>
      <w:lvlJc w:val="left"/>
      <w:pPr>
        <w:ind w:left="2880" w:hanging="360"/>
      </w:pPr>
      <w:rPr>
        <w:rFonts w:ascii="Symbol" w:hAnsi="Symbol" w:hint="default"/>
      </w:rPr>
    </w:lvl>
    <w:lvl w:ilvl="4" w:tplc="CEC4C1CC">
      <w:start w:val="1"/>
      <w:numFmt w:val="bullet"/>
      <w:lvlText w:val="o"/>
      <w:lvlJc w:val="left"/>
      <w:pPr>
        <w:ind w:left="3600" w:hanging="360"/>
      </w:pPr>
      <w:rPr>
        <w:rFonts w:ascii="Courier New" w:hAnsi="Courier New" w:hint="default"/>
      </w:rPr>
    </w:lvl>
    <w:lvl w:ilvl="5" w:tplc="3FB69F1A">
      <w:start w:val="1"/>
      <w:numFmt w:val="bullet"/>
      <w:lvlText w:val=""/>
      <w:lvlJc w:val="left"/>
      <w:pPr>
        <w:ind w:left="4320" w:hanging="360"/>
      </w:pPr>
      <w:rPr>
        <w:rFonts w:ascii="Wingdings" w:hAnsi="Wingdings" w:hint="default"/>
      </w:rPr>
    </w:lvl>
    <w:lvl w:ilvl="6" w:tplc="5AE6A0FE">
      <w:start w:val="1"/>
      <w:numFmt w:val="bullet"/>
      <w:lvlText w:val=""/>
      <w:lvlJc w:val="left"/>
      <w:pPr>
        <w:ind w:left="5040" w:hanging="360"/>
      </w:pPr>
      <w:rPr>
        <w:rFonts w:ascii="Symbol" w:hAnsi="Symbol" w:hint="default"/>
      </w:rPr>
    </w:lvl>
    <w:lvl w:ilvl="7" w:tplc="E1286C86">
      <w:start w:val="1"/>
      <w:numFmt w:val="bullet"/>
      <w:lvlText w:val="o"/>
      <w:lvlJc w:val="left"/>
      <w:pPr>
        <w:ind w:left="5760" w:hanging="360"/>
      </w:pPr>
      <w:rPr>
        <w:rFonts w:ascii="Courier New" w:hAnsi="Courier New" w:hint="default"/>
      </w:rPr>
    </w:lvl>
    <w:lvl w:ilvl="8" w:tplc="D20800CC">
      <w:start w:val="1"/>
      <w:numFmt w:val="bullet"/>
      <w:lvlText w:val=""/>
      <w:lvlJc w:val="left"/>
      <w:pPr>
        <w:ind w:left="6480" w:hanging="360"/>
      </w:pPr>
      <w:rPr>
        <w:rFonts w:ascii="Wingdings" w:hAnsi="Wingdings" w:hint="default"/>
      </w:rPr>
    </w:lvl>
  </w:abstractNum>
  <w:abstractNum w:abstractNumId="55" w15:restartNumberingAfterBreak="0">
    <w:nsid w:val="6FB37A09"/>
    <w:multiLevelType w:val="multilevel"/>
    <w:tmpl w:val="17E04F48"/>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71DD0495"/>
    <w:multiLevelType w:val="hybridMultilevel"/>
    <w:tmpl w:val="82C8C996"/>
    <w:lvl w:ilvl="0" w:tplc="2A126B08">
      <w:numFmt w:val="bullet"/>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CD32D7"/>
    <w:multiLevelType w:val="multilevel"/>
    <w:tmpl w:val="771CF034"/>
    <w:lvl w:ilvl="0">
      <w:start w:val="1"/>
      <w:numFmt w:val="decimal"/>
      <w:lvlText w:val="%1."/>
      <w:lvlJc w:val="left"/>
      <w:pPr>
        <w:ind w:left="720" w:hanging="360"/>
      </w:pPr>
      <w:rPr>
        <w:rFonts w:hint="default"/>
      </w:rPr>
    </w:lvl>
    <w:lvl w:ilvl="1">
      <w:start w:val="1"/>
      <w:numFmt w:val="bullet"/>
      <w:lvlText w:val=""/>
      <w:lvlJc w:val="left"/>
      <w:pPr>
        <w:ind w:left="840" w:hanging="480"/>
      </w:pPr>
      <w:rPr>
        <w:rFonts w:ascii="Symbol" w:hAnsi="Symbol"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7BB17641"/>
    <w:multiLevelType w:val="hybridMultilevel"/>
    <w:tmpl w:val="CA0E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F34DA0"/>
    <w:multiLevelType w:val="hybridMultilevel"/>
    <w:tmpl w:val="8250C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3903832">
    <w:abstractNumId w:val="11"/>
  </w:num>
  <w:num w:numId="2" w16cid:durableId="1638875198">
    <w:abstractNumId w:val="47"/>
  </w:num>
  <w:num w:numId="3" w16cid:durableId="2110814299">
    <w:abstractNumId w:val="53"/>
  </w:num>
  <w:num w:numId="4" w16cid:durableId="965350672">
    <w:abstractNumId w:val="14"/>
  </w:num>
  <w:num w:numId="5" w16cid:durableId="1488396995">
    <w:abstractNumId w:val="51"/>
  </w:num>
  <w:num w:numId="6" w16cid:durableId="1528836866">
    <w:abstractNumId w:val="18"/>
  </w:num>
  <w:num w:numId="7" w16cid:durableId="18936196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9109994">
    <w:abstractNumId w:val="39"/>
  </w:num>
  <w:num w:numId="9" w16cid:durableId="1197307870">
    <w:abstractNumId w:val="38"/>
  </w:num>
  <w:num w:numId="10" w16cid:durableId="596907208">
    <w:abstractNumId w:val="20"/>
  </w:num>
  <w:num w:numId="11" w16cid:durableId="179661319">
    <w:abstractNumId w:val="41"/>
  </w:num>
  <w:num w:numId="12" w16cid:durableId="1194071819">
    <w:abstractNumId w:val="42"/>
  </w:num>
  <w:num w:numId="13" w16cid:durableId="1090926975">
    <w:abstractNumId w:val="0"/>
  </w:num>
  <w:num w:numId="14" w16cid:durableId="1994481428">
    <w:abstractNumId w:val="28"/>
  </w:num>
  <w:num w:numId="15" w16cid:durableId="262960168">
    <w:abstractNumId w:val="50"/>
  </w:num>
  <w:num w:numId="16" w16cid:durableId="1188905058">
    <w:abstractNumId w:val="12"/>
  </w:num>
  <w:num w:numId="17" w16cid:durableId="1750038391">
    <w:abstractNumId w:val="8"/>
  </w:num>
  <w:num w:numId="18" w16cid:durableId="2075857377">
    <w:abstractNumId w:val="58"/>
  </w:num>
  <w:num w:numId="19" w16cid:durableId="884950103">
    <w:abstractNumId w:val="40"/>
  </w:num>
  <w:num w:numId="20" w16cid:durableId="2006979785">
    <w:abstractNumId w:val="24"/>
  </w:num>
  <w:num w:numId="21" w16cid:durableId="322395108">
    <w:abstractNumId w:val="5"/>
  </w:num>
  <w:num w:numId="22" w16cid:durableId="383600789">
    <w:abstractNumId w:val="34"/>
  </w:num>
  <w:num w:numId="23" w16cid:durableId="1845240775">
    <w:abstractNumId w:val="13"/>
  </w:num>
  <w:num w:numId="24" w16cid:durableId="169105986">
    <w:abstractNumId w:val="30"/>
  </w:num>
  <w:num w:numId="25" w16cid:durableId="1675571284">
    <w:abstractNumId w:val="2"/>
  </w:num>
  <w:num w:numId="26" w16cid:durableId="429544306">
    <w:abstractNumId w:val="7"/>
  </w:num>
  <w:num w:numId="27" w16cid:durableId="1548180752">
    <w:abstractNumId w:val="17"/>
  </w:num>
  <w:num w:numId="28" w16cid:durableId="51125332">
    <w:abstractNumId w:val="27"/>
  </w:num>
  <w:num w:numId="29" w16cid:durableId="1261453536">
    <w:abstractNumId w:val="54"/>
  </w:num>
  <w:num w:numId="30" w16cid:durableId="1800952939">
    <w:abstractNumId w:val="9"/>
  </w:num>
  <w:num w:numId="31" w16cid:durableId="1814254956">
    <w:abstractNumId w:val="52"/>
  </w:num>
  <w:num w:numId="32" w16cid:durableId="996299846">
    <w:abstractNumId w:val="48"/>
  </w:num>
  <w:num w:numId="33" w16cid:durableId="544291744">
    <w:abstractNumId w:val="55"/>
  </w:num>
  <w:num w:numId="34" w16cid:durableId="1575578502">
    <w:abstractNumId w:val="46"/>
  </w:num>
  <w:num w:numId="35" w16cid:durableId="812403775">
    <w:abstractNumId w:val="31"/>
  </w:num>
  <w:num w:numId="36" w16cid:durableId="1563518254">
    <w:abstractNumId w:val="15"/>
  </w:num>
  <w:num w:numId="37" w16cid:durableId="1234269149">
    <w:abstractNumId w:val="3"/>
  </w:num>
  <w:num w:numId="38" w16cid:durableId="1217550684">
    <w:abstractNumId w:val="19"/>
  </w:num>
  <w:num w:numId="39" w16cid:durableId="2019307310">
    <w:abstractNumId w:val="4"/>
  </w:num>
  <w:num w:numId="40" w16cid:durableId="1667279">
    <w:abstractNumId w:val="22"/>
  </w:num>
  <w:num w:numId="41" w16cid:durableId="1957714893">
    <w:abstractNumId w:val="22"/>
    <w:lvlOverride w:ilvl="0">
      <w:lvl w:ilvl="0" w:tplc="0409000F">
        <w:start w:val="1"/>
        <w:numFmt w:val="lowerLetter"/>
        <w:lvlText w:val="%1."/>
        <w:lvlJc w:val="left"/>
        <w:pPr>
          <w:ind w:left="1440" w:hanging="360"/>
        </w:pPr>
        <w:rPr>
          <w:rFonts w:hint="default"/>
        </w:rPr>
      </w:lvl>
    </w:lvlOverride>
    <w:lvlOverride w:ilvl="1">
      <w:lvl w:ilvl="1" w:tplc="71147324">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2" w16cid:durableId="2066029436">
    <w:abstractNumId w:val="29"/>
  </w:num>
  <w:num w:numId="43" w16cid:durableId="271941457">
    <w:abstractNumId w:val="43"/>
  </w:num>
  <w:num w:numId="44" w16cid:durableId="1758213169">
    <w:abstractNumId w:val="44"/>
  </w:num>
  <w:num w:numId="45" w16cid:durableId="1246497755">
    <w:abstractNumId w:val="6"/>
  </w:num>
  <w:num w:numId="46" w16cid:durableId="49424836">
    <w:abstractNumId w:val="33"/>
  </w:num>
  <w:num w:numId="47" w16cid:durableId="1869291866">
    <w:abstractNumId w:val="56"/>
  </w:num>
  <w:num w:numId="48" w16cid:durableId="633948592">
    <w:abstractNumId w:val="49"/>
  </w:num>
  <w:num w:numId="49" w16cid:durableId="1329792203">
    <w:abstractNumId w:val="32"/>
  </w:num>
  <w:num w:numId="50" w16cid:durableId="1847750089">
    <w:abstractNumId w:val="45"/>
  </w:num>
  <w:num w:numId="51" w16cid:durableId="77674000">
    <w:abstractNumId w:val="37"/>
  </w:num>
  <w:num w:numId="52" w16cid:durableId="324632164">
    <w:abstractNumId w:val="57"/>
  </w:num>
  <w:num w:numId="53" w16cid:durableId="1112867947">
    <w:abstractNumId w:val="36"/>
  </w:num>
  <w:num w:numId="54" w16cid:durableId="1870603350">
    <w:abstractNumId w:val="59"/>
  </w:num>
  <w:num w:numId="55" w16cid:durableId="21131473">
    <w:abstractNumId w:val="23"/>
  </w:num>
  <w:num w:numId="56" w16cid:durableId="648443501">
    <w:abstractNumId w:val="10"/>
  </w:num>
  <w:num w:numId="57" w16cid:durableId="191069049">
    <w:abstractNumId w:val="1"/>
  </w:num>
  <w:num w:numId="58" w16cid:durableId="2079669682">
    <w:abstractNumId w:val="21"/>
  </w:num>
  <w:num w:numId="59" w16cid:durableId="424306449">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ttachedTemplate r:id="rId1"/>
  <w:linkStyle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GridTable4-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D28"/>
    <w:rsid w:val="0000012F"/>
    <w:rsid w:val="0000019A"/>
    <w:rsid w:val="0000056D"/>
    <w:rsid w:val="0000089E"/>
    <w:rsid w:val="00000AF0"/>
    <w:rsid w:val="00000E90"/>
    <w:rsid w:val="000016B1"/>
    <w:rsid w:val="000019B9"/>
    <w:rsid w:val="00001BBC"/>
    <w:rsid w:val="00001E96"/>
    <w:rsid w:val="0000291F"/>
    <w:rsid w:val="000029CA"/>
    <w:rsid w:val="000030DE"/>
    <w:rsid w:val="000033C1"/>
    <w:rsid w:val="00003472"/>
    <w:rsid w:val="00003CA2"/>
    <w:rsid w:val="00003DFD"/>
    <w:rsid w:val="000040FD"/>
    <w:rsid w:val="00004A14"/>
    <w:rsid w:val="00004AD3"/>
    <w:rsid w:val="00004F31"/>
    <w:rsid w:val="000052CE"/>
    <w:rsid w:val="0000547C"/>
    <w:rsid w:val="00005669"/>
    <w:rsid w:val="000056A0"/>
    <w:rsid w:val="00005704"/>
    <w:rsid w:val="000057AA"/>
    <w:rsid w:val="00005BAB"/>
    <w:rsid w:val="00005E75"/>
    <w:rsid w:val="00005F1E"/>
    <w:rsid w:val="00006021"/>
    <w:rsid w:val="0000606A"/>
    <w:rsid w:val="000060F9"/>
    <w:rsid w:val="00006150"/>
    <w:rsid w:val="0000689E"/>
    <w:rsid w:val="00006A26"/>
    <w:rsid w:val="00006C2D"/>
    <w:rsid w:val="00006CE0"/>
    <w:rsid w:val="000070AB"/>
    <w:rsid w:val="000071FE"/>
    <w:rsid w:val="0000758F"/>
    <w:rsid w:val="000076A3"/>
    <w:rsid w:val="000107BD"/>
    <w:rsid w:val="00010A94"/>
    <w:rsid w:val="00010B04"/>
    <w:rsid w:val="00010E00"/>
    <w:rsid w:val="00010EAE"/>
    <w:rsid w:val="000110E1"/>
    <w:rsid w:val="000112AE"/>
    <w:rsid w:val="00012708"/>
    <w:rsid w:val="0001277E"/>
    <w:rsid w:val="000128CF"/>
    <w:rsid w:val="00012DE9"/>
    <w:rsid w:val="000134D2"/>
    <w:rsid w:val="000138F9"/>
    <w:rsid w:val="00013D06"/>
    <w:rsid w:val="00013E6E"/>
    <w:rsid w:val="00014532"/>
    <w:rsid w:val="000145E9"/>
    <w:rsid w:val="000149E8"/>
    <w:rsid w:val="0001517B"/>
    <w:rsid w:val="00015E9D"/>
    <w:rsid w:val="00016995"/>
    <w:rsid w:val="00016BFB"/>
    <w:rsid w:val="00016EE1"/>
    <w:rsid w:val="00017076"/>
    <w:rsid w:val="00017B13"/>
    <w:rsid w:val="00017B1B"/>
    <w:rsid w:val="00017FFC"/>
    <w:rsid w:val="00020261"/>
    <w:rsid w:val="00020D66"/>
    <w:rsid w:val="00020DFF"/>
    <w:rsid w:val="00021011"/>
    <w:rsid w:val="000216A5"/>
    <w:rsid w:val="000217C5"/>
    <w:rsid w:val="00021861"/>
    <w:rsid w:val="00021E40"/>
    <w:rsid w:val="00021EB2"/>
    <w:rsid w:val="00021EB9"/>
    <w:rsid w:val="000222C7"/>
    <w:rsid w:val="00022516"/>
    <w:rsid w:val="00022522"/>
    <w:rsid w:val="000228E1"/>
    <w:rsid w:val="00022AB9"/>
    <w:rsid w:val="00022D62"/>
    <w:rsid w:val="00022E45"/>
    <w:rsid w:val="00023D46"/>
    <w:rsid w:val="0002410D"/>
    <w:rsid w:val="0002459C"/>
    <w:rsid w:val="00024742"/>
    <w:rsid w:val="000247BC"/>
    <w:rsid w:val="000249C7"/>
    <w:rsid w:val="00024AE5"/>
    <w:rsid w:val="0002516A"/>
    <w:rsid w:val="00025337"/>
    <w:rsid w:val="000254AF"/>
    <w:rsid w:val="000254D3"/>
    <w:rsid w:val="00025790"/>
    <w:rsid w:val="00025B9D"/>
    <w:rsid w:val="00025BE3"/>
    <w:rsid w:val="00025E03"/>
    <w:rsid w:val="00026337"/>
    <w:rsid w:val="000268C7"/>
    <w:rsid w:val="00027005"/>
    <w:rsid w:val="000270D4"/>
    <w:rsid w:val="00027165"/>
    <w:rsid w:val="000272A0"/>
    <w:rsid w:val="00027793"/>
    <w:rsid w:val="0002779C"/>
    <w:rsid w:val="00027FF4"/>
    <w:rsid w:val="0002B1FE"/>
    <w:rsid w:val="0003049E"/>
    <w:rsid w:val="000307E8"/>
    <w:rsid w:val="000309EC"/>
    <w:rsid w:val="000310AB"/>
    <w:rsid w:val="000312AD"/>
    <w:rsid w:val="000313E2"/>
    <w:rsid w:val="0003146B"/>
    <w:rsid w:val="000314D9"/>
    <w:rsid w:val="00031503"/>
    <w:rsid w:val="00031782"/>
    <w:rsid w:val="000317B7"/>
    <w:rsid w:val="00031968"/>
    <w:rsid w:val="00032410"/>
    <w:rsid w:val="000324BE"/>
    <w:rsid w:val="00032792"/>
    <w:rsid w:val="00032854"/>
    <w:rsid w:val="0003306C"/>
    <w:rsid w:val="0003316E"/>
    <w:rsid w:val="00033985"/>
    <w:rsid w:val="000339A9"/>
    <w:rsid w:val="00033A17"/>
    <w:rsid w:val="00033A8A"/>
    <w:rsid w:val="00033C70"/>
    <w:rsid w:val="00033CF6"/>
    <w:rsid w:val="000340DB"/>
    <w:rsid w:val="000342B0"/>
    <w:rsid w:val="00034572"/>
    <w:rsid w:val="000345CA"/>
    <w:rsid w:val="00034F7B"/>
    <w:rsid w:val="00034FCA"/>
    <w:rsid w:val="000350ED"/>
    <w:rsid w:val="000355C7"/>
    <w:rsid w:val="00035600"/>
    <w:rsid w:val="0003566A"/>
    <w:rsid w:val="00035778"/>
    <w:rsid w:val="00035795"/>
    <w:rsid w:val="0003593A"/>
    <w:rsid w:val="00035C6B"/>
    <w:rsid w:val="00035CCF"/>
    <w:rsid w:val="00035D72"/>
    <w:rsid w:val="00035DD8"/>
    <w:rsid w:val="000360E8"/>
    <w:rsid w:val="0003624D"/>
    <w:rsid w:val="000365BF"/>
    <w:rsid w:val="00036677"/>
    <w:rsid w:val="00036A58"/>
    <w:rsid w:val="00036CEF"/>
    <w:rsid w:val="00036E26"/>
    <w:rsid w:val="00036F49"/>
    <w:rsid w:val="00037471"/>
    <w:rsid w:val="000377AC"/>
    <w:rsid w:val="00037AA7"/>
    <w:rsid w:val="00037CDF"/>
    <w:rsid w:val="0004009A"/>
    <w:rsid w:val="000402CC"/>
    <w:rsid w:val="00040531"/>
    <w:rsid w:val="000410A5"/>
    <w:rsid w:val="0004137B"/>
    <w:rsid w:val="00041716"/>
    <w:rsid w:val="0004172F"/>
    <w:rsid w:val="000419A3"/>
    <w:rsid w:val="000419EA"/>
    <w:rsid w:val="00041E4B"/>
    <w:rsid w:val="0004207D"/>
    <w:rsid w:val="0004225F"/>
    <w:rsid w:val="000424C6"/>
    <w:rsid w:val="000425E9"/>
    <w:rsid w:val="000425FC"/>
    <w:rsid w:val="00042FD8"/>
    <w:rsid w:val="00043540"/>
    <w:rsid w:val="00043579"/>
    <w:rsid w:val="000437C6"/>
    <w:rsid w:val="0004400D"/>
    <w:rsid w:val="00044762"/>
    <w:rsid w:val="00044C27"/>
    <w:rsid w:val="00044DEF"/>
    <w:rsid w:val="00044F21"/>
    <w:rsid w:val="000453DB"/>
    <w:rsid w:val="00045506"/>
    <w:rsid w:val="0004566A"/>
    <w:rsid w:val="00046057"/>
    <w:rsid w:val="00046063"/>
    <w:rsid w:val="00046338"/>
    <w:rsid w:val="000465E5"/>
    <w:rsid w:val="00046622"/>
    <w:rsid w:val="00046817"/>
    <w:rsid w:val="00046B98"/>
    <w:rsid w:val="000475D3"/>
    <w:rsid w:val="00047D7F"/>
    <w:rsid w:val="00047FA4"/>
    <w:rsid w:val="000502CF"/>
    <w:rsid w:val="00050648"/>
    <w:rsid w:val="00050D2F"/>
    <w:rsid w:val="00050D66"/>
    <w:rsid w:val="000513C5"/>
    <w:rsid w:val="000514AC"/>
    <w:rsid w:val="00051C47"/>
    <w:rsid w:val="00051DC2"/>
    <w:rsid w:val="00051F01"/>
    <w:rsid w:val="000520F1"/>
    <w:rsid w:val="00052A04"/>
    <w:rsid w:val="00052DDD"/>
    <w:rsid w:val="00052E2B"/>
    <w:rsid w:val="00052EA6"/>
    <w:rsid w:val="000530DD"/>
    <w:rsid w:val="000539E5"/>
    <w:rsid w:val="000539ED"/>
    <w:rsid w:val="00053BA8"/>
    <w:rsid w:val="000544D5"/>
    <w:rsid w:val="0005468A"/>
    <w:rsid w:val="00054E08"/>
    <w:rsid w:val="00055214"/>
    <w:rsid w:val="00055540"/>
    <w:rsid w:val="0005556C"/>
    <w:rsid w:val="000555B2"/>
    <w:rsid w:val="00055E30"/>
    <w:rsid w:val="0005617A"/>
    <w:rsid w:val="0005635A"/>
    <w:rsid w:val="000564FD"/>
    <w:rsid w:val="00056650"/>
    <w:rsid w:val="000566F5"/>
    <w:rsid w:val="00056740"/>
    <w:rsid w:val="000569F2"/>
    <w:rsid w:val="0005738B"/>
    <w:rsid w:val="00057424"/>
    <w:rsid w:val="000575F2"/>
    <w:rsid w:val="00057625"/>
    <w:rsid w:val="00057715"/>
    <w:rsid w:val="00057918"/>
    <w:rsid w:val="0005791F"/>
    <w:rsid w:val="00057924"/>
    <w:rsid w:val="0006025E"/>
    <w:rsid w:val="000606A3"/>
    <w:rsid w:val="00060753"/>
    <w:rsid w:val="000607D5"/>
    <w:rsid w:val="00060833"/>
    <w:rsid w:val="00060AEE"/>
    <w:rsid w:val="00060B18"/>
    <w:rsid w:val="00060BF9"/>
    <w:rsid w:val="00060F00"/>
    <w:rsid w:val="00061DAA"/>
    <w:rsid w:val="000626BD"/>
    <w:rsid w:val="0006296C"/>
    <w:rsid w:val="0006299E"/>
    <w:rsid w:val="00063184"/>
    <w:rsid w:val="00063470"/>
    <w:rsid w:val="000634B0"/>
    <w:rsid w:val="0006363F"/>
    <w:rsid w:val="00063DF5"/>
    <w:rsid w:val="000643DD"/>
    <w:rsid w:val="00064689"/>
    <w:rsid w:val="00064854"/>
    <w:rsid w:val="00064B31"/>
    <w:rsid w:val="00064E80"/>
    <w:rsid w:val="000650DD"/>
    <w:rsid w:val="000651F5"/>
    <w:rsid w:val="000654A5"/>
    <w:rsid w:val="00065828"/>
    <w:rsid w:val="00065B84"/>
    <w:rsid w:val="00066347"/>
    <w:rsid w:val="000663E7"/>
    <w:rsid w:val="000670B0"/>
    <w:rsid w:val="000674CD"/>
    <w:rsid w:val="00067788"/>
    <w:rsid w:val="00067CA6"/>
    <w:rsid w:val="00067CAE"/>
    <w:rsid w:val="0007002C"/>
    <w:rsid w:val="0007083C"/>
    <w:rsid w:val="000709F3"/>
    <w:rsid w:val="00070FDC"/>
    <w:rsid w:val="00071539"/>
    <w:rsid w:val="00071CE3"/>
    <w:rsid w:val="00071D87"/>
    <w:rsid w:val="00071D8C"/>
    <w:rsid w:val="00072000"/>
    <w:rsid w:val="00072031"/>
    <w:rsid w:val="000724B8"/>
    <w:rsid w:val="00072627"/>
    <w:rsid w:val="00072895"/>
    <w:rsid w:val="00073065"/>
    <w:rsid w:val="000731CA"/>
    <w:rsid w:val="00073280"/>
    <w:rsid w:val="000732AB"/>
    <w:rsid w:val="00073470"/>
    <w:rsid w:val="00073670"/>
    <w:rsid w:val="000737DA"/>
    <w:rsid w:val="00073920"/>
    <w:rsid w:val="00073ADE"/>
    <w:rsid w:val="00073BEB"/>
    <w:rsid w:val="00073CF2"/>
    <w:rsid w:val="0007402D"/>
    <w:rsid w:val="00074272"/>
    <w:rsid w:val="0007444A"/>
    <w:rsid w:val="00074515"/>
    <w:rsid w:val="00074933"/>
    <w:rsid w:val="00074E0A"/>
    <w:rsid w:val="00074FCF"/>
    <w:rsid w:val="0007530B"/>
    <w:rsid w:val="000754F4"/>
    <w:rsid w:val="00075675"/>
    <w:rsid w:val="00075A07"/>
    <w:rsid w:val="000761A7"/>
    <w:rsid w:val="00076367"/>
    <w:rsid w:val="00076745"/>
    <w:rsid w:val="00076875"/>
    <w:rsid w:val="00076B5D"/>
    <w:rsid w:val="00076D8B"/>
    <w:rsid w:val="00076F99"/>
    <w:rsid w:val="000772AE"/>
    <w:rsid w:val="00077691"/>
    <w:rsid w:val="000776F3"/>
    <w:rsid w:val="00077793"/>
    <w:rsid w:val="0007782D"/>
    <w:rsid w:val="00077A69"/>
    <w:rsid w:val="00077E19"/>
    <w:rsid w:val="00077E3E"/>
    <w:rsid w:val="000802F3"/>
    <w:rsid w:val="00080880"/>
    <w:rsid w:val="00080BA8"/>
    <w:rsid w:val="00081075"/>
    <w:rsid w:val="00081138"/>
    <w:rsid w:val="00081176"/>
    <w:rsid w:val="000817E9"/>
    <w:rsid w:val="00081960"/>
    <w:rsid w:val="0008214C"/>
    <w:rsid w:val="00082729"/>
    <w:rsid w:val="000829A8"/>
    <w:rsid w:val="00082B87"/>
    <w:rsid w:val="00082BD1"/>
    <w:rsid w:val="00082E7A"/>
    <w:rsid w:val="000831BA"/>
    <w:rsid w:val="000835A9"/>
    <w:rsid w:val="000835FC"/>
    <w:rsid w:val="00083771"/>
    <w:rsid w:val="00084E28"/>
    <w:rsid w:val="00084E2C"/>
    <w:rsid w:val="00085244"/>
    <w:rsid w:val="0008532F"/>
    <w:rsid w:val="000853CF"/>
    <w:rsid w:val="000855D9"/>
    <w:rsid w:val="000856B9"/>
    <w:rsid w:val="000856CF"/>
    <w:rsid w:val="00085708"/>
    <w:rsid w:val="00086659"/>
    <w:rsid w:val="00086B65"/>
    <w:rsid w:val="00086C42"/>
    <w:rsid w:val="00086E24"/>
    <w:rsid w:val="00086FA7"/>
    <w:rsid w:val="00087024"/>
    <w:rsid w:val="00087164"/>
    <w:rsid w:val="00087EEE"/>
    <w:rsid w:val="00089199"/>
    <w:rsid w:val="00090214"/>
    <w:rsid w:val="00090672"/>
    <w:rsid w:val="000908A1"/>
    <w:rsid w:val="000909FB"/>
    <w:rsid w:val="0009106A"/>
    <w:rsid w:val="00091343"/>
    <w:rsid w:val="000913FC"/>
    <w:rsid w:val="0009151D"/>
    <w:rsid w:val="00091710"/>
    <w:rsid w:val="000918E6"/>
    <w:rsid w:val="000919F0"/>
    <w:rsid w:val="00091AC6"/>
    <w:rsid w:val="00091C5D"/>
    <w:rsid w:val="00092B4B"/>
    <w:rsid w:val="00092E3E"/>
    <w:rsid w:val="00092E9F"/>
    <w:rsid w:val="00093072"/>
    <w:rsid w:val="000930B3"/>
    <w:rsid w:val="0009372B"/>
    <w:rsid w:val="00093DE4"/>
    <w:rsid w:val="00093EB1"/>
    <w:rsid w:val="00093F4B"/>
    <w:rsid w:val="000944D9"/>
    <w:rsid w:val="00094717"/>
    <w:rsid w:val="00094971"/>
    <w:rsid w:val="00094BC5"/>
    <w:rsid w:val="00094C7A"/>
    <w:rsid w:val="00095290"/>
    <w:rsid w:val="00095408"/>
    <w:rsid w:val="0009570B"/>
    <w:rsid w:val="00095A84"/>
    <w:rsid w:val="00095F58"/>
    <w:rsid w:val="0009716D"/>
    <w:rsid w:val="00097290"/>
    <w:rsid w:val="00097516"/>
    <w:rsid w:val="000975FE"/>
    <w:rsid w:val="000A070C"/>
    <w:rsid w:val="000A07C6"/>
    <w:rsid w:val="000A0EA3"/>
    <w:rsid w:val="000A1222"/>
    <w:rsid w:val="000A12ED"/>
    <w:rsid w:val="000A1D5A"/>
    <w:rsid w:val="000A1E07"/>
    <w:rsid w:val="000A20E0"/>
    <w:rsid w:val="000A22C0"/>
    <w:rsid w:val="000A23A1"/>
    <w:rsid w:val="000A26C1"/>
    <w:rsid w:val="000A28C4"/>
    <w:rsid w:val="000A2A65"/>
    <w:rsid w:val="000A2B91"/>
    <w:rsid w:val="000A2ED9"/>
    <w:rsid w:val="000A2F99"/>
    <w:rsid w:val="000A39E1"/>
    <w:rsid w:val="000A39E8"/>
    <w:rsid w:val="000A3F1C"/>
    <w:rsid w:val="000A4319"/>
    <w:rsid w:val="000A43E0"/>
    <w:rsid w:val="000A44DD"/>
    <w:rsid w:val="000A469D"/>
    <w:rsid w:val="000A475C"/>
    <w:rsid w:val="000A4CB5"/>
    <w:rsid w:val="000A5179"/>
    <w:rsid w:val="000A5823"/>
    <w:rsid w:val="000A5A42"/>
    <w:rsid w:val="000A5C62"/>
    <w:rsid w:val="000A5FDA"/>
    <w:rsid w:val="000A645C"/>
    <w:rsid w:val="000A6734"/>
    <w:rsid w:val="000A67D0"/>
    <w:rsid w:val="000A67F2"/>
    <w:rsid w:val="000A68BF"/>
    <w:rsid w:val="000A6935"/>
    <w:rsid w:val="000A6D0A"/>
    <w:rsid w:val="000A70CE"/>
    <w:rsid w:val="000A7AC8"/>
    <w:rsid w:val="000A7B27"/>
    <w:rsid w:val="000A7E95"/>
    <w:rsid w:val="000A7F51"/>
    <w:rsid w:val="000A7F86"/>
    <w:rsid w:val="000A7FF1"/>
    <w:rsid w:val="000B05A5"/>
    <w:rsid w:val="000B0648"/>
    <w:rsid w:val="000B08AE"/>
    <w:rsid w:val="000B0A83"/>
    <w:rsid w:val="000B135D"/>
    <w:rsid w:val="000B1404"/>
    <w:rsid w:val="000B1461"/>
    <w:rsid w:val="000B1808"/>
    <w:rsid w:val="000B187B"/>
    <w:rsid w:val="000B1D0C"/>
    <w:rsid w:val="000B1D55"/>
    <w:rsid w:val="000B26EC"/>
    <w:rsid w:val="000B2793"/>
    <w:rsid w:val="000B2C35"/>
    <w:rsid w:val="000B30BA"/>
    <w:rsid w:val="000B3414"/>
    <w:rsid w:val="000B3446"/>
    <w:rsid w:val="000B36E2"/>
    <w:rsid w:val="000B3F80"/>
    <w:rsid w:val="000B43C3"/>
    <w:rsid w:val="000B4481"/>
    <w:rsid w:val="000B4692"/>
    <w:rsid w:val="000B49D1"/>
    <w:rsid w:val="000B49E1"/>
    <w:rsid w:val="000B4A5F"/>
    <w:rsid w:val="000B4CB0"/>
    <w:rsid w:val="000B4D61"/>
    <w:rsid w:val="000B4FEB"/>
    <w:rsid w:val="000B5047"/>
    <w:rsid w:val="000B5727"/>
    <w:rsid w:val="000B59D5"/>
    <w:rsid w:val="000B5B6A"/>
    <w:rsid w:val="000B6129"/>
    <w:rsid w:val="000B64E8"/>
    <w:rsid w:val="000B66B9"/>
    <w:rsid w:val="000B687C"/>
    <w:rsid w:val="000B6E9F"/>
    <w:rsid w:val="000B6F2B"/>
    <w:rsid w:val="000B71F3"/>
    <w:rsid w:val="000B727B"/>
    <w:rsid w:val="000B7526"/>
    <w:rsid w:val="000B75FC"/>
    <w:rsid w:val="000B7977"/>
    <w:rsid w:val="000B7CEE"/>
    <w:rsid w:val="000C015F"/>
    <w:rsid w:val="000C061A"/>
    <w:rsid w:val="000C0818"/>
    <w:rsid w:val="000C0D5C"/>
    <w:rsid w:val="000C12C9"/>
    <w:rsid w:val="000C17B0"/>
    <w:rsid w:val="000C1A16"/>
    <w:rsid w:val="000C1B7F"/>
    <w:rsid w:val="000C295C"/>
    <w:rsid w:val="000C2B16"/>
    <w:rsid w:val="000C2DB7"/>
    <w:rsid w:val="000C3232"/>
    <w:rsid w:val="000C33C5"/>
    <w:rsid w:val="000C4114"/>
    <w:rsid w:val="000C491E"/>
    <w:rsid w:val="000C4A27"/>
    <w:rsid w:val="000C5075"/>
    <w:rsid w:val="000C54CE"/>
    <w:rsid w:val="000C5616"/>
    <w:rsid w:val="000C584A"/>
    <w:rsid w:val="000C5B71"/>
    <w:rsid w:val="000C5F02"/>
    <w:rsid w:val="000C5F91"/>
    <w:rsid w:val="000C5FFA"/>
    <w:rsid w:val="000C68EC"/>
    <w:rsid w:val="000C69ED"/>
    <w:rsid w:val="000C6FC2"/>
    <w:rsid w:val="000C7066"/>
    <w:rsid w:val="000C7284"/>
    <w:rsid w:val="000C765F"/>
    <w:rsid w:val="000D05A9"/>
    <w:rsid w:val="000D08C7"/>
    <w:rsid w:val="000D0A80"/>
    <w:rsid w:val="000D0CC6"/>
    <w:rsid w:val="000D0E44"/>
    <w:rsid w:val="000D1000"/>
    <w:rsid w:val="000D12A0"/>
    <w:rsid w:val="000D136C"/>
    <w:rsid w:val="000D1E48"/>
    <w:rsid w:val="000D246B"/>
    <w:rsid w:val="000D25A3"/>
    <w:rsid w:val="000D26F6"/>
    <w:rsid w:val="000D2740"/>
    <w:rsid w:val="000D2AF1"/>
    <w:rsid w:val="000D2B2F"/>
    <w:rsid w:val="000D2BB3"/>
    <w:rsid w:val="000D2CAE"/>
    <w:rsid w:val="000D2E0A"/>
    <w:rsid w:val="000D346B"/>
    <w:rsid w:val="000D3976"/>
    <w:rsid w:val="000D3C49"/>
    <w:rsid w:val="000D3E72"/>
    <w:rsid w:val="000D4151"/>
    <w:rsid w:val="000D46C6"/>
    <w:rsid w:val="000D4A10"/>
    <w:rsid w:val="000D4C98"/>
    <w:rsid w:val="000D5917"/>
    <w:rsid w:val="000D59EF"/>
    <w:rsid w:val="000D59FA"/>
    <w:rsid w:val="000D5A6E"/>
    <w:rsid w:val="000D5D38"/>
    <w:rsid w:val="000D5F22"/>
    <w:rsid w:val="000D66FE"/>
    <w:rsid w:val="000D680B"/>
    <w:rsid w:val="000D69D6"/>
    <w:rsid w:val="000D69E8"/>
    <w:rsid w:val="000D6DFB"/>
    <w:rsid w:val="000D6FFA"/>
    <w:rsid w:val="000D7301"/>
    <w:rsid w:val="000D76AA"/>
    <w:rsid w:val="000D774E"/>
    <w:rsid w:val="000D7991"/>
    <w:rsid w:val="000D7F4E"/>
    <w:rsid w:val="000E0078"/>
    <w:rsid w:val="000E0191"/>
    <w:rsid w:val="000E0285"/>
    <w:rsid w:val="000E0314"/>
    <w:rsid w:val="000E03AA"/>
    <w:rsid w:val="000E04A1"/>
    <w:rsid w:val="000E058E"/>
    <w:rsid w:val="000E061B"/>
    <w:rsid w:val="000E0EDF"/>
    <w:rsid w:val="000E13C9"/>
    <w:rsid w:val="000E14BB"/>
    <w:rsid w:val="000E1922"/>
    <w:rsid w:val="000E1A2E"/>
    <w:rsid w:val="000E1A83"/>
    <w:rsid w:val="000E2170"/>
    <w:rsid w:val="000E2B45"/>
    <w:rsid w:val="000E2B5D"/>
    <w:rsid w:val="000E2C76"/>
    <w:rsid w:val="000E2CC6"/>
    <w:rsid w:val="000E2F8B"/>
    <w:rsid w:val="000E35CB"/>
    <w:rsid w:val="000E3885"/>
    <w:rsid w:val="000E3ADF"/>
    <w:rsid w:val="000E3C33"/>
    <w:rsid w:val="000E3DD3"/>
    <w:rsid w:val="000E40D3"/>
    <w:rsid w:val="000E4554"/>
    <w:rsid w:val="000E457C"/>
    <w:rsid w:val="000E528B"/>
    <w:rsid w:val="000E555A"/>
    <w:rsid w:val="000E5B6A"/>
    <w:rsid w:val="000E5CBA"/>
    <w:rsid w:val="000E617C"/>
    <w:rsid w:val="000E6F06"/>
    <w:rsid w:val="000E75CA"/>
    <w:rsid w:val="000E75FE"/>
    <w:rsid w:val="000E7AA0"/>
    <w:rsid w:val="000E7CF8"/>
    <w:rsid w:val="000E7E28"/>
    <w:rsid w:val="000E7E99"/>
    <w:rsid w:val="000E7F4B"/>
    <w:rsid w:val="000F0128"/>
    <w:rsid w:val="000F0165"/>
    <w:rsid w:val="000F01C9"/>
    <w:rsid w:val="000F08A5"/>
    <w:rsid w:val="000F0AB3"/>
    <w:rsid w:val="000F0AED"/>
    <w:rsid w:val="000F0F42"/>
    <w:rsid w:val="000F11B5"/>
    <w:rsid w:val="000F1788"/>
    <w:rsid w:val="000F180D"/>
    <w:rsid w:val="000F185A"/>
    <w:rsid w:val="000F1D82"/>
    <w:rsid w:val="000F248F"/>
    <w:rsid w:val="000F28B9"/>
    <w:rsid w:val="000F29B4"/>
    <w:rsid w:val="000F2AD1"/>
    <w:rsid w:val="000F2C36"/>
    <w:rsid w:val="000F2D23"/>
    <w:rsid w:val="000F3117"/>
    <w:rsid w:val="000F3278"/>
    <w:rsid w:val="000F3329"/>
    <w:rsid w:val="000F3F0E"/>
    <w:rsid w:val="000F42A1"/>
    <w:rsid w:val="000F4D1E"/>
    <w:rsid w:val="000F4DAB"/>
    <w:rsid w:val="000F503C"/>
    <w:rsid w:val="000F52AE"/>
    <w:rsid w:val="000F53CB"/>
    <w:rsid w:val="000F548D"/>
    <w:rsid w:val="000F5664"/>
    <w:rsid w:val="000F5B47"/>
    <w:rsid w:val="000F5CA4"/>
    <w:rsid w:val="000F5CE3"/>
    <w:rsid w:val="000F5D6A"/>
    <w:rsid w:val="000F5D77"/>
    <w:rsid w:val="000F6281"/>
    <w:rsid w:val="000F62B3"/>
    <w:rsid w:val="000F657F"/>
    <w:rsid w:val="000F65B6"/>
    <w:rsid w:val="000F6D0F"/>
    <w:rsid w:val="000F7B8A"/>
    <w:rsid w:val="000F7EDC"/>
    <w:rsid w:val="000F7FAE"/>
    <w:rsid w:val="000F8340"/>
    <w:rsid w:val="00100591"/>
    <w:rsid w:val="00100BB0"/>
    <w:rsid w:val="00100DB2"/>
    <w:rsid w:val="00100DDC"/>
    <w:rsid w:val="00100ED5"/>
    <w:rsid w:val="001011BE"/>
    <w:rsid w:val="00101B61"/>
    <w:rsid w:val="00101B9F"/>
    <w:rsid w:val="00101BBC"/>
    <w:rsid w:val="00101D4B"/>
    <w:rsid w:val="00102893"/>
    <w:rsid w:val="00102911"/>
    <w:rsid w:val="0010337B"/>
    <w:rsid w:val="00103410"/>
    <w:rsid w:val="001035AF"/>
    <w:rsid w:val="00103F34"/>
    <w:rsid w:val="001040E1"/>
    <w:rsid w:val="001041DF"/>
    <w:rsid w:val="0010460F"/>
    <w:rsid w:val="001047A8"/>
    <w:rsid w:val="00104B85"/>
    <w:rsid w:val="00104E3E"/>
    <w:rsid w:val="0010534A"/>
    <w:rsid w:val="001054BA"/>
    <w:rsid w:val="00106031"/>
    <w:rsid w:val="001061AE"/>
    <w:rsid w:val="001061B3"/>
    <w:rsid w:val="0010647D"/>
    <w:rsid w:val="00106516"/>
    <w:rsid w:val="001065E4"/>
    <w:rsid w:val="001066BA"/>
    <w:rsid w:val="001079ED"/>
    <w:rsid w:val="00107B88"/>
    <w:rsid w:val="00107CC6"/>
    <w:rsid w:val="00107D53"/>
    <w:rsid w:val="001101D4"/>
    <w:rsid w:val="001102C2"/>
    <w:rsid w:val="001104D3"/>
    <w:rsid w:val="00110733"/>
    <w:rsid w:val="00110A50"/>
    <w:rsid w:val="00110AF6"/>
    <w:rsid w:val="00110C4B"/>
    <w:rsid w:val="00110E71"/>
    <w:rsid w:val="001111FC"/>
    <w:rsid w:val="00111898"/>
    <w:rsid w:val="00111963"/>
    <w:rsid w:val="00111CAB"/>
    <w:rsid w:val="00112131"/>
    <w:rsid w:val="001124BD"/>
    <w:rsid w:val="00112507"/>
    <w:rsid w:val="00112901"/>
    <w:rsid w:val="001129A9"/>
    <w:rsid w:val="00112A49"/>
    <w:rsid w:val="00112E5F"/>
    <w:rsid w:val="00112EBD"/>
    <w:rsid w:val="00113333"/>
    <w:rsid w:val="00113822"/>
    <w:rsid w:val="00113D8C"/>
    <w:rsid w:val="00113EA4"/>
    <w:rsid w:val="00114E3F"/>
    <w:rsid w:val="00115562"/>
    <w:rsid w:val="00115918"/>
    <w:rsid w:val="00115A62"/>
    <w:rsid w:val="00115D6C"/>
    <w:rsid w:val="001164AB"/>
    <w:rsid w:val="00116F82"/>
    <w:rsid w:val="00117155"/>
    <w:rsid w:val="001174F6"/>
    <w:rsid w:val="001200E9"/>
    <w:rsid w:val="001206BB"/>
    <w:rsid w:val="00120810"/>
    <w:rsid w:val="001209DC"/>
    <w:rsid w:val="00120ACB"/>
    <w:rsid w:val="00120CB2"/>
    <w:rsid w:val="001211B4"/>
    <w:rsid w:val="00121605"/>
    <w:rsid w:val="0012163B"/>
    <w:rsid w:val="001216E8"/>
    <w:rsid w:val="00121959"/>
    <w:rsid w:val="00121ABE"/>
    <w:rsid w:val="0012236C"/>
    <w:rsid w:val="0012291F"/>
    <w:rsid w:val="0012293E"/>
    <w:rsid w:val="00122A9D"/>
    <w:rsid w:val="00122E0A"/>
    <w:rsid w:val="00122ED5"/>
    <w:rsid w:val="00123090"/>
    <w:rsid w:val="0012318E"/>
    <w:rsid w:val="0012326B"/>
    <w:rsid w:val="001233C9"/>
    <w:rsid w:val="001235AA"/>
    <w:rsid w:val="00123764"/>
    <w:rsid w:val="0012383B"/>
    <w:rsid w:val="00123866"/>
    <w:rsid w:val="00123B82"/>
    <w:rsid w:val="00123C33"/>
    <w:rsid w:val="00123E59"/>
    <w:rsid w:val="00124251"/>
    <w:rsid w:val="0012516C"/>
    <w:rsid w:val="00125211"/>
    <w:rsid w:val="001252A9"/>
    <w:rsid w:val="001254C1"/>
    <w:rsid w:val="001256B3"/>
    <w:rsid w:val="00125C53"/>
    <w:rsid w:val="00125CEC"/>
    <w:rsid w:val="00125DF3"/>
    <w:rsid w:val="001262F6"/>
    <w:rsid w:val="00126301"/>
    <w:rsid w:val="0012656C"/>
    <w:rsid w:val="0012670D"/>
    <w:rsid w:val="00126883"/>
    <w:rsid w:val="00126BC0"/>
    <w:rsid w:val="00126C0C"/>
    <w:rsid w:val="00126CED"/>
    <w:rsid w:val="00126D7B"/>
    <w:rsid w:val="001272EE"/>
    <w:rsid w:val="0012751E"/>
    <w:rsid w:val="00127704"/>
    <w:rsid w:val="00127D09"/>
    <w:rsid w:val="00130136"/>
    <w:rsid w:val="00130A33"/>
    <w:rsid w:val="00130D28"/>
    <w:rsid w:val="00130E5D"/>
    <w:rsid w:val="001311BA"/>
    <w:rsid w:val="00131474"/>
    <w:rsid w:val="00131565"/>
    <w:rsid w:val="00131574"/>
    <w:rsid w:val="001319F2"/>
    <w:rsid w:val="00131D4C"/>
    <w:rsid w:val="00131EE4"/>
    <w:rsid w:val="001320FE"/>
    <w:rsid w:val="001327BE"/>
    <w:rsid w:val="001327D9"/>
    <w:rsid w:val="00132DA6"/>
    <w:rsid w:val="0013306C"/>
    <w:rsid w:val="00133147"/>
    <w:rsid w:val="001331DD"/>
    <w:rsid w:val="00133358"/>
    <w:rsid w:val="00133507"/>
    <w:rsid w:val="001336D1"/>
    <w:rsid w:val="00133A98"/>
    <w:rsid w:val="0013423D"/>
    <w:rsid w:val="0013432C"/>
    <w:rsid w:val="001344A5"/>
    <w:rsid w:val="00134596"/>
    <w:rsid w:val="001353A6"/>
    <w:rsid w:val="00135561"/>
    <w:rsid w:val="00135E5C"/>
    <w:rsid w:val="00136091"/>
    <w:rsid w:val="001360E0"/>
    <w:rsid w:val="001362C5"/>
    <w:rsid w:val="00136893"/>
    <w:rsid w:val="00136E1B"/>
    <w:rsid w:val="001376D0"/>
    <w:rsid w:val="00137788"/>
    <w:rsid w:val="001377BA"/>
    <w:rsid w:val="001377C3"/>
    <w:rsid w:val="0013796E"/>
    <w:rsid w:val="00137AEC"/>
    <w:rsid w:val="00137D7F"/>
    <w:rsid w:val="00137F95"/>
    <w:rsid w:val="001400E3"/>
    <w:rsid w:val="00140145"/>
    <w:rsid w:val="00140328"/>
    <w:rsid w:val="0014079F"/>
    <w:rsid w:val="00140BA7"/>
    <w:rsid w:val="00140CE3"/>
    <w:rsid w:val="00140E13"/>
    <w:rsid w:val="00140F3A"/>
    <w:rsid w:val="00140F99"/>
    <w:rsid w:val="0014117D"/>
    <w:rsid w:val="0014148C"/>
    <w:rsid w:val="001414A5"/>
    <w:rsid w:val="0014156A"/>
    <w:rsid w:val="0014170D"/>
    <w:rsid w:val="00141949"/>
    <w:rsid w:val="0014201B"/>
    <w:rsid w:val="00142093"/>
    <w:rsid w:val="0014222D"/>
    <w:rsid w:val="0014234E"/>
    <w:rsid w:val="0014273C"/>
    <w:rsid w:val="001427DE"/>
    <w:rsid w:val="00142881"/>
    <w:rsid w:val="00142EA9"/>
    <w:rsid w:val="00142EBC"/>
    <w:rsid w:val="00142FBA"/>
    <w:rsid w:val="001436C0"/>
    <w:rsid w:val="001439D4"/>
    <w:rsid w:val="00143B35"/>
    <w:rsid w:val="00143B41"/>
    <w:rsid w:val="00143E87"/>
    <w:rsid w:val="0014460F"/>
    <w:rsid w:val="0014467F"/>
    <w:rsid w:val="00144D01"/>
    <w:rsid w:val="00144D3C"/>
    <w:rsid w:val="00144DFC"/>
    <w:rsid w:val="00144F34"/>
    <w:rsid w:val="00145107"/>
    <w:rsid w:val="001451A0"/>
    <w:rsid w:val="001455D6"/>
    <w:rsid w:val="00145AF6"/>
    <w:rsid w:val="00146278"/>
    <w:rsid w:val="001468B8"/>
    <w:rsid w:val="00146BAE"/>
    <w:rsid w:val="00146C03"/>
    <w:rsid w:val="00146E69"/>
    <w:rsid w:val="00146EF8"/>
    <w:rsid w:val="00147059"/>
    <w:rsid w:val="001472FD"/>
    <w:rsid w:val="0015025E"/>
    <w:rsid w:val="001506EF"/>
    <w:rsid w:val="00150F4B"/>
    <w:rsid w:val="001516AE"/>
    <w:rsid w:val="001517C4"/>
    <w:rsid w:val="0015188D"/>
    <w:rsid w:val="0015234D"/>
    <w:rsid w:val="001523FC"/>
    <w:rsid w:val="00152673"/>
    <w:rsid w:val="00152BBF"/>
    <w:rsid w:val="00152BED"/>
    <w:rsid w:val="0015331A"/>
    <w:rsid w:val="001535AE"/>
    <w:rsid w:val="00153714"/>
    <w:rsid w:val="001537E5"/>
    <w:rsid w:val="00153DBA"/>
    <w:rsid w:val="0015410A"/>
    <w:rsid w:val="001546EB"/>
    <w:rsid w:val="001547EA"/>
    <w:rsid w:val="001549A1"/>
    <w:rsid w:val="00154AF8"/>
    <w:rsid w:val="00154B04"/>
    <w:rsid w:val="001552B9"/>
    <w:rsid w:val="001554F1"/>
    <w:rsid w:val="00155AA1"/>
    <w:rsid w:val="00155B2E"/>
    <w:rsid w:val="00155F71"/>
    <w:rsid w:val="00156189"/>
    <w:rsid w:val="001566CB"/>
    <w:rsid w:val="00156BEC"/>
    <w:rsid w:val="00160D96"/>
    <w:rsid w:val="00160E7D"/>
    <w:rsid w:val="00160EAB"/>
    <w:rsid w:val="00161338"/>
    <w:rsid w:val="00161716"/>
    <w:rsid w:val="00161F56"/>
    <w:rsid w:val="0016215A"/>
    <w:rsid w:val="00162318"/>
    <w:rsid w:val="0016240A"/>
    <w:rsid w:val="001624C8"/>
    <w:rsid w:val="0016261C"/>
    <w:rsid w:val="00162699"/>
    <w:rsid w:val="00163163"/>
    <w:rsid w:val="00163409"/>
    <w:rsid w:val="00163446"/>
    <w:rsid w:val="001639DA"/>
    <w:rsid w:val="00163D65"/>
    <w:rsid w:val="00164045"/>
    <w:rsid w:val="001647E0"/>
    <w:rsid w:val="0016487C"/>
    <w:rsid w:val="00164FBE"/>
    <w:rsid w:val="00165265"/>
    <w:rsid w:val="00165281"/>
    <w:rsid w:val="001654E7"/>
    <w:rsid w:val="0016579A"/>
    <w:rsid w:val="00165971"/>
    <w:rsid w:val="00165A4E"/>
    <w:rsid w:val="0016652E"/>
    <w:rsid w:val="001668B9"/>
    <w:rsid w:val="00166A6C"/>
    <w:rsid w:val="001671F0"/>
    <w:rsid w:val="001672CA"/>
    <w:rsid w:val="00167A26"/>
    <w:rsid w:val="00167BA1"/>
    <w:rsid w:val="001701C4"/>
    <w:rsid w:val="0017051C"/>
    <w:rsid w:val="001708E5"/>
    <w:rsid w:val="001711C3"/>
    <w:rsid w:val="00171372"/>
    <w:rsid w:val="00171CB4"/>
    <w:rsid w:val="001722AF"/>
    <w:rsid w:val="001723A1"/>
    <w:rsid w:val="001729D8"/>
    <w:rsid w:val="00172D7A"/>
    <w:rsid w:val="00172DB7"/>
    <w:rsid w:val="001730C1"/>
    <w:rsid w:val="00173367"/>
    <w:rsid w:val="0017348F"/>
    <w:rsid w:val="00173A8E"/>
    <w:rsid w:val="00173B9D"/>
    <w:rsid w:val="00173D0C"/>
    <w:rsid w:val="00174843"/>
    <w:rsid w:val="00174A96"/>
    <w:rsid w:val="00174AE9"/>
    <w:rsid w:val="00174CCA"/>
    <w:rsid w:val="00174E3D"/>
    <w:rsid w:val="00174E6E"/>
    <w:rsid w:val="00174F40"/>
    <w:rsid w:val="0017515A"/>
    <w:rsid w:val="001752A8"/>
    <w:rsid w:val="00175947"/>
    <w:rsid w:val="00175984"/>
    <w:rsid w:val="001759DE"/>
    <w:rsid w:val="00175B7E"/>
    <w:rsid w:val="00175ECA"/>
    <w:rsid w:val="00175F01"/>
    <w:rsid w:val="0017616C"/>
    <w:rsid w:val="00176215"/>
    <w:rsid w:val="00176308"/>
    <w:rsid w:val="001764F7"/>
    <w:rsid w:val="001768AC"/>
    <w:rsid w:val="00176CDF"/>
    <w:rsid w:val="00176DA7"/>
    <w:rsid w:val="00176F95"/>
    <w:rsid w:val="001772E3"/>
    <w:rsid w:val="00177843"/>
    <w:rsid w:val="001778A5"/>
    <w:rsid w:val="00177B70"/>
    <w:rsid w:val="00177D6F"/>
    <w:rsid w:val="00180C4C"/>
    <w:rsid w:val="00180C67"/>
    <w:rsid w:val="001810FF"/>
    <w:rsid w:val="001823CC"/>
    <w:rsid w:val="001823EE"/>
    <w:rsid w:val="0018254C"/>
    <w:rsid w:val="00182722"/>
    <w:rsid w:val="00182AD1"/>
    <w:rsid w:val="00183866"/>
    <w:rsid w:val="001838EC"/>
    <w:rsid w:val="001838F6"/>
    <w:rsid w:val="00183B1C"/>
    <w:rsid w:val="00183C96"/>
    <w:rsid w:val="00183DF9"/>
    <w:rsid w:val="00183E2C"/>
    <w:rsid w:val="00183E45"/>
    <w:rsid w:val="00183ED3"/>
    <w:rsid w:val="0018419B"/>
    <w:rsid w:val="00184366"/>
    <w:rsid w:val="00184537"/>
    <w:rsid w:val="001847A4"/>
    <w:rsid w:val="001847D1"/>
    <w:rsid w:val="001848B9"/>
    <w:rsid w:val="00184A45"/>
    <w:rsid w:val="00184B94"/>
    <w:rsid w:val="00184BC1"/>
    <w:rsid w:val="00184F77"/>
    <w:rsid w:val="0018500B"/>
    <w:rsid w:val="0018534C"/>
    <w:rsid w:val="001855D9"/>
    <w:rsid w:val="001856E6"/>
    <w:rsid w:val="00185E4B"/>
    <w:rsid w:val="00185E4D"/>
    <w:rsid w:val="0018602B"/>
    <w:rsid w:val="00186192"/>
    <w:rsid w:val="00186742"/>
    <w:rsid w:val="001868CA"/>
    <w:rsid w:val="00186A8F"/>
    <w:rsid w:val="00186F03"/>
    <w:rsid w:val="0018717A"/>
    <w:rsid w:val="0018724B"/>
    <w:rsid w:val="001873FB"/>
    <w:rsid w:val="00187441"/>
    <w:rsid w:val="0018773B"/>
    <w:rsid w:val="00187DCC"/>
    <w:rsid w:val="00190557"/>
    <w:rsid w:val="00190658"/>
    <w:rsid w:val="001906AE"/>
    <w:rsid w:val="001909B0"/>
    <w:rsid w:val="00190A77"/>
    <w:rsid w:val="00190B37"/>
    <w:rsid w:val="00190B67"/>
    <w:rsid w:val="00190F2D"/>
    <w:rsid w:val="0019111D"/>
    <w:rsid w:val="00191193"/>
    <w:rsid w:val="00191478"/>
    <w:rsid w:val="001920C8"/>
    <w:rsid w:val="00192411"/>
    <w:rsid w:val="0019250A"/>
    <w:rsid w:val="00192628"/>
    <w:rsid w:val="00192790"/>
    <w:rsid w:val="001927F1"/>
    <w:rsid w:val="0019280C"/>
    <w:rsid w:val="00193215"/>
    <w:rsid w:val="0019340B"/>
    <w:rsid w:val="00193453"/>
    <w:rsid w:val="00193665"/>
    <w:rsid w:val="00193676"/>
    <w:rsid w:val="0019396E"/>
    <w:rsid w:val="00193AFC"/>
    <w:rsid w:val="00193C1A"/>
    <w:rsid w:val="00193F1F"/>
    <w:rsid w:val="0019444B"/>
    <w:rsid w:val="00194725"/>
    <w:rsid w:val="00194B45"/>
    <w:rsid w:val="00194DCE"/>
    <w:rsid w:val="00194E2F"/>
    <w:rsid w:val="001952E7"/>
    <w:rsid w:val="001955F6"/>
    <w:rsid w:val="0019622D"/>
    <w:rsid w:val="00196315"/>
    <w:rsid w:val="00196CD6"/>
    <w:rsid w:val="001971DB"/>
    <w:rsid w:val="0019750F"/>
    <w:rsid w:val="001979F6"/>
    <w:rsid w:val="00197DBA"/>
    <w:rsid w:val="00197FBD"/>
    <w:rsid w:val="001A0633"/>
    <w:rsid w:val="001A093D"/>
    <w:rsid w:val="001A0B33"/>
    <w:rsid w:val="001A0D5F"/>
    <w:rsid w:val="001A0D8A"/>
    <w:rsid w:val="001A107A"/>
    <w:rsid w:val="001A1145"/>
    <w:rsid w:val="001A11EB"/>
    <w:rsid w:val="001A127E"/>
    <w:rsid w:val="001A18D0"/>
    <w:rsid w:val="001A1A68"/>
    <w:rsid w:val="001A2E61"/>
    <w:rsid w:val="001A2F1C"/>
    <w:rsid w:val="001A3ACE"/>
    <w:rsid w:val="001A3C74"/>
    <w:rsid w:val="001A3E16"/>
    <w:rsid w:val="001A42A6"/>
    <w:rsid w:val="001A46D6"/>
    <w:rsid w:val="001A49FB"/>
    <w:rsid w:val="001A4E56"/>
    <w:rsid w:val="001A4E7E"/>
    <w:rsid w:val="001A4F50"/>
    <w:rsid w:val="001A4FE2"/>
    <w:rsid w:val="001A52E3"/>
    <w:rsid w:val="001A54DA"/>
    <w:rsid w:val="001A5E0A"/>
    <w:rsid w:val="001A620A"/>
    <w:rsid w:val="001A63C4"/>
    <w:rsid w:val="001A6568"/>
    <w:rsid w:val="001A6845"/>
    <w:rsid w:val="001A6A8C"/>
    <w:rsid w:val="001A6AE2"/>
    <w:rsid w:val="001A6F1D"/>
    <w:rsid w:val="001A7139"/>
    <w:rsid w:val="001A7376"/>
    <w:rsid w:val="001A74D6"/>
    <w:rsid w:val="001A774D"/>
    <w:rsid w:val="001A7861"/>
    <w:rsid w:val="001A7947"/>
    <w:rsid w:val="001A7AB4"/>
    <w:rsid w:val="001B07AE"/>
    <w:rsid w:val="001B0B12"/>
    <w:rsid w:val="001B0B45"/>
    <w:rsid w:val="001B0B4E"/>
    <w:rsid w:val="001B15E1"/>
    <w:rsid w:val="001B162F"/>
    <w:rsid w:val="001B1756"/>
    <w:rsid w:val="001B1871"/>
    <w:rsid w:val="001B1A4E"/>
    <w:rsid w:val="001B1EF8"/>
    <w:rsid w:val="001B20A3"/>
    <w:rsid w:val="001B22D7"/>
    <w:rsid w:val="001B24BB"/>
    <w:rsid w:val="001B27AD"/>
    <w:rsid w:val="001B2E3B"/>
    <w:rsid w:val="001B3406"/>
    <w:rsid w:val="001B34AF"/>
    <w:rsid w:val="001B36FD"/>
    <w:rsid w:val="001B3A6E"/>
    <w:rsid w:val="001B418E"/>
    <w:rsid w:val="001B4897"/>
    <w:rsid w:val="001B4ADA"/>
    <w:rsid w:val="001B59AD"/>
    <w:rsid w:val="001B5B92"/>
    <w:rsid w:val="001B5B9F"/>
    <w:rsid w:val="001B60AF"/>
    <w:rsid w:val="001B6443"/>
    <w:rsid w:val="001B655C"/>
    <w:rsid w:val="001B65B8"/>
    <w:rsid w:val="001B69B1"/>
    <w:rsid w:val="001B69CF"/>
    <w:rsid w:val="001B6E57"/>
    <w:rsid w:val="001B6FD3"/>
    <w:rsid w:val="001B729D"/>
    <w:rsid w:val="001B79D1"/>
    <w:rsid w:val="001B7F18"/>
    <w:rsid w:val="001C016A"/>
    <w:rsid w:val="001C0B2C"/>
    <w:rsid w:val="001C0B35"/>
    <w:rsid w:val="001C0DE9"/>
    <w:rsid w:val="001C0E7B"/>
    <w:rsid w:val="001C0FAE"/>
    <w:rsid w:val="001C1116"/>
    <w:rsid w:val="001C141B"/>
    <w:rsid w:val="001C1761"/>
    <w:rsid w:val="001C195A"/>
    <w:rsid w:val="001C1ED7"/>
    <w:rsid w:val="001C1F2D"/>
    <w:rsid w:val="001C2266"/>
    <w:rsid w:val="001C27A0"/>
    <w:rsid w:val="001C2AE4"/>
    <w:rsid w:val="001C2B74"/>
    <w:rsid w:val="001C2C05"/>
    <w:rsid w:val="001C2E0C"/>
    <w:rsid w:val="001C2F72"/>
    <w:rsid w:val="001C34E4"/>
    <w:rsid w:val="001C3616"/>
    <w:rsid w:val="001C3659"/>
    <w:rsid w:val="001C396D"/>
    <w:rsid w:val="001C3EEF"/>
    <w:rsid w:val="001C3F41"/>
    <w:rsid w:val="001C4044"/>
    <w:rsid w:val="001C46B2"/>
    <w:rsid w:val="001C48AE"/>
    <w:rsid w:val="001C48DA"/>
    <w:rsid w:val="001C514B"/>
    <w:rsid w:val="001C5271"/>
    <w:rsid w:val="001C568F"/>
    <w:rsid w:val="001C5ACD"/>
    <w:rsid w:val="001C5C32"/>
    <w:rsid w:val="001C6255"/>
    <w:rsid w:val="001C64D3"/>
    <w:rsid w:val="001C6523"/>
    <w:rsid w:val="001C66AA"/>
    <w:rsid w:val="001C6BD3"/>
    <w:rsid w:val="001C6C08"/>
    <w:rsid w:val="001C6FBC"/>
    <w:rsid w:val="001C7302"/>
    <w:rsid w:val="001C7E1C"/>
    <w:rsid w:val="001D00A2"/>
    <w:rsid w:val="001D04DB"/>
    <w:rsid w:val="001D0D91"/>
    <w:rsid w:val="001D108C"/>
    <w:rsid w:val="001D1198"/>
    <w:rsid w:val="001D123F"/>
    <w:rsid w:val="001D1276"/>
    <w:rsid w:val="001D16F4"/>
    <w:rsid w:val="001D1804"/>
    <w:rsid w:val="001D19E6"/>
    <w:rsid w:val="001D1AEC"/>
    <w:rsid w:val="001D2172"/>
    <w:rsid w:val="001D2435"/>
    <w:rsid w:val="001D27C2"/>
    <w:rsid w:val="001D27E4"/>
    <w:rsid w:val="001D2C21"/>
    <w:rsid w:val="001D2C82"/>
    <w:rsid w:val="001D2DB8"/>
    <w:rsid w:val="001D2E96"/>
    <w:rsid w:val="001D4157"/>
    <w:rsid w:val="001D498E"/>
    <w:rsid w:val="001D4A09"/>
    <w:rsid w:val="001D50C2"/>
    <w:rsid w:val="001D50FF"/>
    <w:rsid w:val="001D56C1"/>
    <w:rsid w:val="001D5711"/>
    <w:rsid w:val="001D57B3"/>
    <w:rsid w:val="001D5E18"/>
    <w:rsid w:val="001D619D"/>
    <w:rsid w:val="001D6682"/>
    <w:rsid w:val="001D6801"/>
    <w:rsid w:val="001D6862"/>
    <w:rsid w:val="001D68E5"/>
    <w:rsid w:val="001D69BC"/>
    <w:rsid w:val="001D6DBD"/>
    <w:rsid w:val="001D75E2"/>
    <w:rsid w:val="001D7695"/>
    <w:rsid w:val="001D7D49"/>
    <w:rsid w:val="001D7E09"/>
    <w:rsid w:val="001E03D6"/>
    <w:rsid w:val="001E0887"/>
    <w:rsid w:val="001E0D5F"/>
    <w:rsid w:val="001E0D87"/>
    <w:rsid w:val="001E1172"/>
    <w:rsid w:val="001E121E"/>
    <w:rsid w:val="001E1797"/>
    <w:rsid w:val="001E1AF1"/>
    <w:rsid w:val="001E1B28"/>
    <w:rsid w:val="001E1C2C"/>
    <w:rsid w:val="001E22D5"/>
    <w:rsid w:val="001E27DE"/>
    <w:rsid w:val="001E2E45"/>
    <w:rsid w:val="001E2F7C"/>
    <w:rsid w:val="001E2FD6"/>
    <w:rsid w:val="001E35D3"/>
    <w:rsid w:val="001E3850"/>
    <w:rsid w:val="001E3DA8"/>
    <w:rsid w:val="001E493A"/>
    <w:rsid w:val="001E4AED"/>
    <w:rsid w:val="001E4FAE"/>
    <w:rsid w:val="001E5236"/>
    <w:rsid w:val="001E54EB"/>
    <w:rsid w:val="001E56F9"/>
    <w:rsid w:val="001E5ABF"/>
    <w:rsid w:val="001E5CC0"/>
    <w:rsid w:val="001E611A"/>
    <w:rsid w:val="001E6710"/>
    <w:rsid w:val="001E6CE3"/>
    <w:rsid w:val="001E795D"/>
    <w:rsid w:val="001E7B46"/>
    <w:rsid w:val="001E7B79"/>
    <w:rsid w:val="001F0193"/>
    <w:rsid w:val="001F03C5"/>
    <w:rsid w:val="001F03E4"/>
    <w:rsid w:val="001F083D"/>
    <w:rsid w:val="001F0FB3"/>
    <w:rsid w:val="001F120E"/>
    <w:rsid w:val="001F125C"/>
    <w:rsid w:val="001F193B"/>
    <w:rsid w:val="001F19AC"/>
    <w:rsid w:val="001F1EEC"/>
    <w:rsid w:val="001F213A"/>
    <w:rsid w:val="001F267A"/>
    <w:rsid w:val="001F29CC"/>
    <w:rsid w:val="001F2A2B"/>
    <w:rsid w:val="001F2E7E"/>
    <w:rsid w:val="001F32DF"/>
    <w:rsid w:val="001F3417"/>
    <w:rsid w:val="001F3477"/>
    <w:rsid w:val="001F3536"/>
    <w:rsid w:val="001F3592"/>
    <w:rsid w:val="001F3708"/>
    <w:rsid w:val="001F39E1"/>
    <w:rsid w:val="001F3BA6"/>
    <w:rsid w:val="001F4030"/>
    <w:rsid w:val="001F4667"/>
    <w:rsid w:val="001F46EF"/>
    <w:rsid w:val="001F47C3"/>
    <w:rsid w:val="001F4DF2"/>
    <w:rsid w:val="001F547F"/>
    <w:rsid w:val="001F58D2"/>
    <w:rsid w:val="001F5C23"/>
    <w:rsid w:val="001F5CD7"/>
    <w:rsid w:val="001F5D46"/>
    <w:rsid w:val="001F6156"/>
    <w:rsid w:val="001F705B"/>
    <w:rsid w:val="001F7144"/>
    <w:rsid w:val="001F7192"/>
    <w:rsid w:val="001F7C45"/>
    <w:rsid w:val="001F7CC7"/>
    <w:rsid w:val="001F7DD0"/>
    <w:rsid w:val="002000DE"/>
    <w:rsid w:val="002002A3"/>
    <w:rsid w:val="0020053E"/>
    <w:rsid w:val="00201573"/>
    <w:rsid w:val="0020179F"/>
    <w:rsid w:val="002019AA"/>
    <w:rsid w:val="00201D51"/>
    <w:rsid w:val="00201E8A"/>
    <w:rsid w:val="00201EE7"/>
    <w:rsid w:val="002027CD"/>
    <w:rsid w:val="00202853"/>
    <w:rsid w:val="00202876"/>
    <w:rsid w:val="00202BE2"/>
    <w:rsid w:val="002035F6"/>
    <w:rsid w:val="002039AF"/>
    <w:rsid w:val="00203D61"/>
    <w:rsid w:val="00203E14"/>
    <w:rsid w:val="0020447B"/>
    <w:rsid w:val="0020482B"/>
    <w:rsid w:val="00204868"/>
    <w:rsid w:val="00204E0D"/>
    <w:rsid w:val="00204F3F"/>
    <w:rsid w:val="00205196"/>
    <w:rsid w:val="002052AC"/>
    <w:rsid w:val="0020534F"/>
    <w:rsid w:val="0020536D"/>
    <w:rsid w:val="002055AC"/>
    <w:rsid w:val="002057EE"/>
    <w:rsid w:val="002058B6"/>
    <w:rsid w:val="00205A83"/>
    <w:rsid w:val="00205DBF"/>
    <w:rsid w:val="00205F18"/>
    <w:rsid w:val="00205F34"/>
    <w:rsid w:val="00206358"/>
    <w:rsid w:val="0020644B"/>
    <w:rsid w:val="00206708"/>
    <w:rsid w:val="00206797"/>
    <w:rsid w:val="00206B1D"/>
    <w:rsid w:val="00206CF5"/>
    <w:rsid w:val="00206DF1"/>
    <w:rsid w:val="002072E7"/>
    <w:rsid w:val="0020740F"/>
    <w:rsid w:val="0020747C"/>
    <w:rsid w:val="00207853"/>
    <w:rsid w:val="00207BE8"/>
    <w:rsid w:val="002100B8"/>
    <w:rsid w:val="00210448"/>
    <w:rsid w:val="002105B8"/>
    <w:rsid w:val="0021076B"/>
    <w:rsid w:val="002108AE"/>
    <w:rsid w:val="00210F8D"/>
    <w:rsid w:val="0021105F"/>
    <w:rsid w:val="00211171"/>
    <w:rsid w:val="00211844"/>
    <w:rsid w:val="0021218E"/>
    <w:rsid w:val="00212428"/>
    <w:rsid w:val="0021256C"/>
    <w:rsid w:val="002125C2"/>
    <w:rsid w:val="002125E1"/>
    <w:rsid w:val="00212649"/>
    <w:rsid w:val="002127B7"/>
    <w:rsid w:val="00213244"/>
    <w:rsid w:val="00213376"/>
    <w:rsid w:val="00213671"/>
    <w:rsid w:val="002137D8"/>
    <w:rsid w:val="002137EC"/>
    <w:rsid w:val="00213897"/>
    <w:rsid w:val="00213F9C"/>
    <w:rsid w:val="00213FE9"/>
    <w:rsid w:val="0021421F"/>
    <w:rsid w:val="00214B61"/>
    <w:rsid w:val="00214D56"/>
    <w:rsid w:val="00214DD2"/>
    <w:rsid w:val="002152A9"/>
    <w:rsid w:val="00215320"/>
    <w:rsid w:val="00215591"/>
    <w:rsid w:val="00215991"/>
    <w:rsid w:val="00215A86"/>
    <w:rsid w:val="00215AEE"/>
    <w:rsid w:val="00215B88"/>
    <w:rsid w:val="00215C53"/>
    <w:rsid w:val="00215EBB"/>
    <w:rsid w:val="002161DA"/>
    <w:rsid w:val="00216271"/>
    <w:rsid w:val="002163C8"/>
    <w:rsid w:val="002163F7"/>
    <w:rsid w:val="00216414"/>
    <w:rsid w:val="002165D9"/>
    <w:rsid w:val="0021685C"/>
    <w:rsid w:val="00216DEC"/>
    <w:rsid w:val="002170F1"/>
    <w:rsid w:val="002171A6"/>
    <w:rsid w:val="002175F3"/>
    <w:rsid w:val="00217A02"/>
    <w:rsid w:val="00217F0B"/>
    <w:rsid w:val="002202F4"/>
    <w:rsid w:val="00220C19"/>
    <w:rsid w:val="00221649"/>
    <w:rsid w:val="00221A91"/>
    <w:rsid w:val="00221C20"/>
    <w:rsid w:val="00221EFD"/>
    <w:rsid w:val="00222B8B"/>
    <w:rsid w:val="00222DA7"/>
    <w:rsid w:val="0022301E"/>
    <w:rsid w:val="002234E4"/>
    <w:rsid w:val="00223B9A"/>
    <w:rsid w:val="00223E4B"/>
    <w:rsid w:val="00223F07"/>
    <w:rsid w:val="002241F4"/>
    <w:rsid w:val="0022430B"/>
    <w:rsid w:val="0022492A"/>
    <w:rsid w:val="00224CC4"/>
    <w:rsid w:val="0022598D"/>
    <w:rsid w:val="00226152"/>
    <w:rsid w:val="002262F7"/>
    <w:rsid w:val="00226439"/>
    <w:rsid w:val="0022645E"/>
    <w:rsid w:val="00226847"/>
    <w:rsid w:val="00226C49"/>
    <w:rsid w:val="00226E13"/>
    <w:rsid w:val="00226F9B"/>
    <w:rsid w:val="002272EB"/>
    <w:rsid w:val="002278AF"/>
    <w:rsid w:val="00227A35"/>
    <w:rsid w:val="00227A75"/>
    <w:rsid w:val="00227B26"/>
    <w:rsid w:val="00227DBB"/>
    <w:rsid w:val="00227FCB"/>
    <w:rsid w:val="002300CE"/>
    <w:rsid w:val="0023011D"/>
    <w:rsid w:val="00230234"/>
    <w:rsid w:val="00230372"/>
    <w:rsid w:val="00230479"/>
    <w:rsid w:val="002304FE"/>
    <w:rsid w:val="002307A0"/>
    <w:rsid w:val="00230890"/>
    <w:rsid w:val="002308CF"/>
    <w:rsid w:val="00230A0E"/>
    <w:rsid w:val="00230DED"/>
    <w:rsid w:val="00230F1C"/>
    <w:rsid w:val="00231060"/>
    <w:rsid w:val="00231103"/>
    <w:rsid w:val="00231359"/>
    <w:rsid w:val="002313B2"/>
    <w:rsid w:val="00231468"/>
    <w:rsid w:val="002315EF"/>
    <w:rsid w:val="002316AC"/>
    <w:rsid w:val="00231883"/>
    <w:rsid w:val="00231DFA"/>
    <w:rsid w:val="00232379"/>
    <w:rsid w:val="002328CB"/>
    <w:rsid w:val="00232DD5"/>
    <w:rsid w:val="00232EFB"/>
    <w:rsid w:val="00233155"/>
    <w:rsid w:val="00233326"/>
    <w:rsid w:val="00233436"/>
    <w:rsid w:val="002334EC"/>
    <w:rsid w:val="002337F4"/>
    <w:rsid w:val="00234360"/>
    <w:rsid w:val="00234697"/>
    <w:rsid w:val="00234AB2"/>
    <w:rsid w:val="00234B6A"/>
    <w:rsid w:val="00234FB9"/>
    <w:rsid w:val="0023553F"/>
    <w:rsid w:val="002358DE"/>
    <w:rsid w:val="00235B0C"/>
    <w:rsid w:val="00235EB5"/>
    <w:rsid w:val="0023603B"/>
    <w:rsid w:val="002360ED"/>
    <w:rsid w:val="002367B6"/>
    <w:rsid w:val="00236A56"/>
    <w:rsid w:val="00236D98"/>
    <w:rsid w:val="00236F3B"/>
    <w:rsid w:val="00237429"/>
    <w:rsid w:val="0023791D"/>
    <w:rsid w:val="00237AD7"/>
    <w:rsid w:val="00240384"/>
    <w:rsid w:val="0024039E"/>
    <w:rsid w:val="00240609"/>
    <w:rsid w:val="0024085E"/>
    <w:rsid w:val="00240B02"/>
    <w:rsid w:val="00240BB9"/>
    <w:rsid w:val="00240E46"/>
    <w:rsid w:val="00240E52"/>
    <w:rsid w:val="002421A7"/>
    <w:rsid w:val="002422FF"/>
    <w:rsid w:val="00242503"/>
    <w:rsid w:val="0024253B"/>
    <w:rsid w:val="002426C1"/>
    <w:rsid w:val="002426CF"/>
    <w:rsid w:val="002427BA"/>
    <w:rsid w:val="00242D70"/>
    <w:rsid w:val="00242D87"/>
    <w:rsid w:val="002438A4"/>
    <w:rsid w:val="00243B56"/>
    <w:rsid w:val="00244227"/>
    <w:rsid w:val="00244CA7"/>
    <w:rsid w:val="00244CD4"/>
    <w:rsid w:val="00244D6B"/>
    <w:rsid w:val="00244EDB"/>
    <w:rsid w:val="002458DE"/>
    <w:rsid w:val="00245B05"/>
    <w:rsid w:val="00246260"/>
    <w:rsid w:val="00246667"/>
    <w:rsid w:val="00246766"/>
    <w:rsid w:val="00246853"/>
    <w:rsid w:val="00246AD0"/>
    <w:rsid w:val="00246C3F"/>
    <w:rsid w:val="00246DC9"/>
    <w:rsid w:val="0024754B"/>
    <w:rsid w:val="00247579"/>
    <w:rsid w:val="00247827"/>
    <w:rsid w:val="00247B94"/>
    <w:rsid w:val="00247D2A"/>
    <w:rsid w:val="00247F3D"/>
    <w:rsid w:val="0025005E"/>
    <w:rsid w:val="00250461"/>
    <w:rsid w:val="00250592"/>
    <w:rsid w:val="0025098A"/>
    <w:rsid w:val="00250B34"/>
    <w:rsid w:val="00250B7D"/>
    <w:rsid w:val="0025141B"/>
    <w:rsid w:val="0025142F"/>
    <w:rsid w:val="002514C0"/>
    <w:rsid w:val="002516C7"/>
    <w:rsid w:val="00251705"/>
    <w:rsid w:val="002519BF"/>
    <w:rsid w:val="00251A51"/>
    <w:rsid w:val="0025225B"/>
    <w:rsid w:val="00252456"/>
    <w:rsid w:val="00252707"/>
    <w:rsid w:val="00252EDD"/>
    <w:rsid w:val="002530EA"/>
    <w:rsid w:val="0025370E"/>
    <w:rsid w:val="0025377D"/>
    <w:rsid w:val="002537D8"/>
    <w:rsid w:val="002539D3"/>
    <w:rsid w:val="00253F53"/>
    <w:rsid w:val="0025400C"/>
    <w:rsid w:val="002540F5"/>
    <w:rsid w:val="00254813"/>
    <w:rsid w:val="002548FE"/>
    <w:rsid w:val="00254925"/>
    <w:rsid w:val="00254A25"/>
    <w:rsid w:val="00255283"/>
    <w:rsid w:val="00255503"/>
    <w:rsid w:val="0025579D"/>
    <w:rsid w:val="002559C1"/>
    <w:rsid w:val="00255B51"/>
    <w:rsid w:val="00255F39"/>
    <w:rsid w:val="00256012"/>
    <w:rsid w:val="002568BD"/>
    <w:rsid w:val="00257120"/>
    <w:rsid w:val="002572FA"/>
    <w:rsid w:val="002573B1"/>
    <w:rsid w:val="00257825"/>
    <w:rsid w:val="00257ABA"/>
    <w:rsid w:val="00257B36"/>
    <w:rsid w:val="00260172"/>
    <w:rsid w:val="00260302"/>
    <w:rsid w:val="00260999"/>
    <w:rsid w:val="002609DE"/>
    <w:rsid w:val="00260A30"/>
    <w:rsid w:val="00260B2C"/>
    <w:rsid w:val="00260DB4"/>
    <w:rsid w:val="00260F7D"/>
    <w:rsid w:val="00261811"/>
    <w:rsid w:val="00261D49"/>
    <w:rsid w:val="00261E1B"/>
    <w:rsid w:val="002620AD"/>
    <w:rsid w:val="0026249F"/>
    <w:rsid w:val="00262750"/>
    <w:rsid w:val="00262788"/>
    <w:rsid w:val="00262C7B"/>
    <w:rsid w:val="00262CA2"/>
    <w:rsid w:val="00262E22"/>
    <w:rsid w:val="00262F06"/>
    <w:rsid w:val="002638C2"/>
    <w:rsid w:val="00263B16"/>
    <w:rsid w:val="00263BC2"/>
    <w:rsid w:val="00263C4A"/>
    <w:rsid w:val="00263DD1"/>
    <w:rsid w:val="00264083"/>
    <w:rsid w:val="0026461C"/>
    <w:rsid w:val="00264914"/>
    <w:rsid w:val="00264A7B"/>
    <w:rsid w:val="00264D54"/>
    <w:rsid w:val="00264F75"/>
    <w:rsid w:val="00265534"/>
    <w:rsid w:val="0026603C"/>
    <w:rsid w:val="0026619B"/>
    <w:rsid w:val="00266411"/>
    <w:rsid w:val="0026665F"/>
    <w:rsid w:val="0026667E"/>
    <w:rsid w:val="00266BD5"/>
    <w:rsid w:val="0026769E"/>
    <w:rsid w:val="00267753"/>
    <w:rsid w:val="00267E74"/>
    <w:rsid w:val="00267EE9"/>
    <w:rsid w:val="00270526"/>
    <w:rsid w:val="00270A92"/>
    <w:rsid w:val="00270F4E"/>
    <w:rsid w:val="00271495"/>
    <w:rsid w:val="00271989"/>
    <w:rsid w:val="00272259"/>
    <w:rsid w:val="00272458"/>
    <w:rsid w:val="00272810"/>
    <w:rsid w:val="00273331"/>
    <w:rsid w:val="002739FB"/>
    <w:rsid w:val="00273E19"/>
    <w:rsid w:val="0027415B"/>
    <w:rsid w:val="002741A9"/>
    <w:rsid w:val="00274210"/>
    <w:rsid w:val="00274330"/>
    <w:rsid w:val="00274934"/>
    <w:rsid w:val="0027494D"/>
    <w:rsid w:val="00274B9B"/>
    <w:rsid w:val="00274C7C"/>
    <w:rsid w:val="00274EC8"/>
    <w:rsid w:val="002752D1"/>
    <w:rsid w:val="00275D6F"/>
    <w:rsid w:val="00275E32"/>
    <w:rsid w:val="00275EB4"/>
    <w:rsid w:val="002766C2"/>
    <w:rsid w:val="00276DB2"/>
    <w:rsid w:val="002773B7"/>
    <w:rsid w:val="00277458"/>
    <w:rsid w:val="00277846"/>
    <w:rsid w:val="0027792A"/>
    <w:rsid w:val="002802B3"/>
    <w:rsid w:val="00280BC1"/>
    <w:rsid w:val="002810B1"/>
    <w:rsid w:val="0028114D"/>
    <w:rsid w:val="002813D2"/>
    <w:rsid w:val="002816A7"/>
    <w:rsid w:val="002816A8"/>
    <w:rsid w:val="00281C2A"/>
    <w:rsid w:val="0028232C"/>
    <w:rsid w:val="00282587"/>
    <w:rsid w:val="00282B94"/>
    <w:rsid w:val="00282D24"/>
    <w:rsid w:val="00282EED"/>
    <w:rsid w:val="00282F3D"/>
    <w:rsid w:val="00283540"/>
    <w:rsid w:val="00283ACF"/>
    <w:rsid w:val="00283D51"/>
    <w:rsid w:val="00284114"/>
    <w:rsid w:val="00284247"/>
    <w:rsid w:val="002851D8"/>
    <w:rsid w:val="0028568C"/>
    <w:rsid w:val="00285881"/>
    <w:rsid w:val="002858A0"/>
    <w:rsid w:val="00285E81"/>
    <w:rsid w:val="00285FFD"/>
    <w:rsid w:val="00286143"/>
    <w:rsid w:val="002861D7"/>
    <w:rsid w:val="00286263"/>
    <w:rsid w:val="00286300"/>
    <w:rsid w:val="00286364"/>
    <w:rsid w:val="002863D8"/>
    <w:rsid w:val="00286B9E"/>
    <w:rsid w:val="00286CAE"/>
    <w:rsid w:val="00287423"/>
    <w:rsid w:val="002903E5"/>
    <w:rsid w:val="002904D8"/>
    <w:rsid w:val="0029120E"/>
    <w:rsid w:val="00291465"/>
    <w:rsid w:val="0029175C"/>
    <w:rsid w:val="00291927"/>
    <w:rsid w:val="0029194E"/>
    <w:rsid w:val="0029208F"/>
    <w:rsid w:val="00292216"/>
    <w:rsid w:val="00292485"/>
    <w:rsid w:val="002929ED"/>
    <w:rsid w:val="00292C8F"/>
    <w:rsid w:val="00292FBE"/>
    <w:rsid w:val="0029312E"/>
    <w:rsid w:val="002932D1"/>
    <w:rsid w:val="002933FE"/>
    <w:rsid w:val="00293ACA"/>
    <w:rsid w:val="00293ADD"/>
    <w:rsid w:val="00293BF4"/>
    <w:rsid w:val="00293F59"/>
    <w:rsid w:val="00294138"/>
    <w:rsid w:val="002941BB"/>
    <w:rsid w:val="002942F5"/>
    <w:rsid w:val="002945E8"/>
    <w:rsid w:val="0029472E"/>
    <w:rsid w:val="00294804"/>
    <w:rsid w:val="00294A73"/>
    <w:rsid w:val="00294B5F"/>
    <w:rsid w:val="00294DD9"/>
    <w:rsid w:val="00294E0E"/>
    <w:rsid w:val="0029513F"/>
    <w:rsid w:val="002957CA"/>
    <w:rsid w:val="002959FE"/>
    <w:rsid w:val="00295E3E"/>
    <w:rsid w:val="00295E94"/>
    <w:rsid w:val="00296079"/>
    <w:rsid w:val="00296114"/>
    <w:rsid w:val="002963F4"/>
    <w:rsid w:val="00296594"/>
    <w:rsid w:val="00296625"/>
    <w:rsid w:val="00296686"/>
    <w:rsid w:val="0029694C"/>
    <w:rsid w:val="00296951"/>
    <w:rsid w:val="00296C3C"/>
    <w:rsid w:val="00296E63"/>
    <w:rsid w:val="002972C3"/>
    <w:rsid w:val="002975BE"/>
    <w:rsid w:val="00297C14"/>
    <w:rsid w:val="00297DCE"/>
    <w:rsid w:val="002A0326"/>
    <w:rsid w:val="002A04B3"/>
    <w:rsid w:val="002A0558"/>
    <w:rsid w:val="002A061D"/>
    <w:rsid w:val="002A0928"/>
    <w:rsid w:val="002A0CB5"/>
    <w:rsid w:val="002A1B3C"/>
    <w:rsid w:val="002A1C57"/>
    <w:rsid w:val="002A201D"/>
    <w:rsid w:val="002A205F"/>
    <w:rsid w:val="002A25A3"/>
    <w:rsid w:val="002A266A"/>
    <w:rsid w:val="002A2864"/>
    <w:rsid w:val="002A2B53"/>
    <w:rsid w:val="002A2FEA"/>
    <w:rsid w:val="002A3946"/>
    <w:rsid w:val="002A398F"/>
    <w:rsid w:val="002A484B"/>
    <w:rsid w:val="002A493C"/>
    <w:rsid w:val="002A49F4"/>
    <w:rsid w:val="002A4A7E"/>
    <w:rsid w:val="002A4B49"/>
    <w:rsid w:val="002A4D1F"/>
    <w:rsid w:val="002A4E2D"/>
    <w:rsid w:val="002A5003"/>
    <w:rsid w:val="002A57B2"/>
    <w:rsid w:val="002A59A8"/>
    <w:rsid w:val="002A5A2B"/>
    <w:rsid w:val="002A5BCD"/>
    <w:rsid w:val="002A5C7B"/>
    <w:rsid w:val="002A5FB2"/>
    <w:rsid w:val="002A631F"/>
    <w:rsid w:val="002A63A4"/>
    <w:rsid w:val="002A645B"/>
    <w:rsid w:val="002A651F"/>
    <w:rsid w:val="002A68C3"/>
    <w:rsid w:val="002A6DA2"/>
    <w:rsid w:val="002A754E"/>
    <w:rsid w:val="002A75B6"/>
    <w:rsid w:val="002A7A83"/>
    <w:rsid w:val="002A7D8D"/>
    <w:rsid w:val="002B00FF"/>
    <w:rsid w:val="002B0613"/>
    <w:rsid w:val="002B093E"/>
    <w:rsid w:val="002B0AC1"/>
    <w:rsid w:val="002B0DF0"/>
    <w:rsid w:val="002B1289"/>
    <w:rsid w:val="002B1353"/>
    <w:rsid w:val="002B135D"/>
    <w:rsid w:val="002B172F"/>
    <w:rsid w:val="002B1D0C"/>
    <w:rsid w:val="002B1E9E"/>
    <w:rsid w:val="002B1EA9"/>
    <w:rsid w:val="002B241A"/>
    <w:rsid w:val="002B2AC5"/>
    <w:rsid w:val="002B2B33"/>
    <w:rsid w:val="002B2FCF"/>
    <w:rsid w:val="002B320C"/>
    <w:rsid w:val="002B349F"/>
    <w:rsid w:val="002B3931"/>
    <w:rsid w:val="002B3A5D"/>
    <w:rsid w:val="002B3A7E"/>
    <w:rsid w:val="002B3B59"/>
    <w:rsid w:val="002B3B60"/>
    <w:rsid w:val="002B3EBF"/>
    <w:rsid w:val="002B419E"/>
    <w:rsid w:val="002B4427"/>
    <w:rsid w:val="002B4731"/>
    <w:rsid w:val="002B486F"/>
    <w:rsid w:val="002B4B44"/>
    <w:rsid w:val="002B4CD3"/>
    <w:rsid w:val="002B4EB7"/>
    <w:rsid w:val="002B4FB0"/>
    <w:rsid w:val="002B534F"/>
    <w:rsid w:val="002B57AD"/>
    <w:rsid w:val="002B58EA"/>
    <w:rsid w:val="002B5FA2"/>
    <w:rsid w:val="002B610C"/>
    <w:rsid w:val="002B621A"/>
    <w:rsid w:val="002B626E"/>
    <w:rsid w:val="002B6B15"/>
    <w:rsid w:val="002B71C2"/>
    <w:rsid w:val="002B7312"/>
    <w:rsid w:val="002B754B"/>
    <w:rsid w:val="002B7B3C"/>
    <w:rsid w:val="002B7B59"/>
    <w:rsid w:val="002B7B85"/>
    <w:rsid w:val="002B7E50"/>
    <w:rsid w:val="002C016C"/>
    <w:rsid w:val="002C103E"/>
    <w:rsid w:val="002C146E"/>
    <w:rsid w:val="002C15FF"/>
    <w:rsid w:val="002C184E"/>
    <w:rsid w:val="002C1D8C"/>
    <w:rsid w:val="002C1E3C"/>
    <w:rsid w:val="002C20E1"/>
    <w:rsid w:val="002C276C"/>
    <w:rsid w:val="002C2BAC"/>
    <w:rsid w:val="002C2C43"/>
    <w:rsid w:val="002C30EE"/>
    <w:rsid w:val="002C3101"/>
    <w:rsid w:val="002C3173"/>
    <w:rsid w:val="002C3275"/>
    <w:rsid w:val="002C32D9"/>
    <w:rsid w:val="002C33F2"/>
    <w:rsid w:val="002C3550"/>
    <w:rsid w:val="002C363A"/>
    <w:rsid w:val="002C3F7F"/>
    <w:rsid w:val="002C40EE"/>
    <w:rsid w:val="002C45C2"/>
    <w:rsid w:val="002C45D2"/>
    <w:rsid w:val="002C4878"/>
    <w:rsid w:val="002C4F6B"/>
    <w:rsid w:val="002C505E"/>
    <w:rsid w:val="002C5C34"/>
    <w:rsid w:val="002C5D89"/>
    <w:rsid w:val="002C62F8"/>
    <w:rsid w:val="002C6B26"/>
    <w:rsid w:val="002C6B84"/>
    <w:rsid w:val="002C6BCD"/>
    <w:rsid w:val="002C7650"/>
    <w:rsid w:val="002C7727"/>
    <w:rsid w:val="002C7939"/>
    <w:rsid w:val="002C7D35"/>
    <w:rsid w:val="002C7E0C"/>
    <w:rsid w:val="002C7F33"/>
    <w:rsid w:val="002D0900"/>
    <w:rsid w:val="002D0A03"/>
    <w:rsid w:val="002D0BA5"/>
    <w:rsid w:val="002D14AD"/>
    <w:rsid w:val="002D14F7"/>
    <w:rsid w:val="002D158B"/>
    <w:rsid w:val="002D16EC"/>
    <w:rsid w:val="002D2663"/>
    <w:rsid w:val="002D2D7A"/>
    <w:rsid w:val="002D2FA0"/>
    <w:rsid w:val="002D36FA"/>
    <w:rsid w:val="002D3AC6"/>
    <w:rsid w:val="002D4165"/>
    <w:rsid w:val="002D462F"/>
    <w:rsid w:val="002D471D"/>
    <w:rsid w:val="002D48E7"/>
    <w:rsid w:val="002D4B8A"/>
    <w:rsid w:val="002D4CC3"/>
    <w:rsid w:val="002D5057"/>
    <w:rsid w:val="002D5363"/>
    <w:rsid w:val="002D5BC0"/>
    <w:rsid w:val="002D6003"/>
    <w:rsid w:val="002D6062"/>
    <w:rsid w:val="002D69AB"/>
    <w:rsid w:val="002D6CE2"/>
    <w:rsid w:val="002D6FDE"/>
    <w:rsid w:val="002D7059"/>
    <w:rsid w:val="002D7268"/>
    <w:rsid w:val="002D753B"/>
    <w:rsid w:val="002D7651"/>
    <w:rsid w:val="002D7B62"/>
    <w:rsid w:val="002D7C9B"/>
    <w:rsid w:val="002D7D69"/>
    <w:rsid w:val="002D7F04"/>
    <w:rsid w:val="002E0731"/>
    <w:rsid w:val="002E0753"/>
    <w:rsid w:val="002E0904"/>
    <w:rsid w:val="002E0FB8"/>
    <w:rsid w:val="002E130E"/>
    <w:rsid w:val="002E157C"/>
    <w:rsid w:val="002E1A8C"/>
    <w:rsid w:val="002E1BA0"/>
    <w:rsid w:val="002E22C0"/>
    <w:rsid w:val="002E27C3"/>
    <w:rsid w:val="002E2822"/>
    <w:rsid w:val="002E2A11"/>
    <w:rsid w:val="002E2CBA"/>
    <w:rsid w:val="002E2D3D"/>
    <w:rsid w:val="002E2DFE"/>
    <w:rsid w:val="002E2E62"/>
    <w:rsid w:val="002E314C"/>
    <w:rsid w:val="002E316F"/>
    <w:rsid w:val="002E3270"/>
    <w:rsid w:val="002E3D9F"/>
    <w:rsid w:val="002E3DB5"/>
    <w:rsid w:val="002E411D"/>
    <w:rsid w:val="002E437E"/>
    <w:rsid w:val="002E44F9"/>
    <w:rsid w:val="002E4528"/>
    <w:rsid w:val="002E4571"/>
    <w:rsid w:val="002E4AED"/>
    <w:rsid w:val="002E4DFE"/>
    <w:rsid w:val="002E514B"/>
    <w:rsid w:val="002E5198"/>
    <w:rsid w:val="002E51A2"/>
    <w:rsid w:val="002E540B"/>
    <w:rsid w:val="002E556D"/>
    <w:rsid w:val="002E56F9"/>
    <w:rsid w:val="002E5AB8"/>
    <w:rsid w:val="002E5B2B"/>
    <w:rsid w:val="002E5BB9"/>
    <w:rsid w:val="002E5CB2"/>
    <w:rsid w:val="002E5D59"/>
    <w:rsid w:val="002E5D85"/>
    <w:rsid w:val="002E5EA6"/>
    <w:rsid w:val="002E5FCF"/>
    <w:rsid w:val="002E5FD0"/>
    <w:rsid w:val="002E60C4"/>
    <w:rsid w:val="002E6699"/>
    <w:rsid w:val="002E68D0"/>
    <w:rsid w:val="002E6B2D"/>
    <w:rsid w:val="002E6D02"/>
    <w:rsid w:val="002E6F00"/>
    <w:rsid w:val="002E6F9D"/>
    <w:rsid w:val="002E7141"/>
    <w:rsid w:val="002E7162"/>
    <w:rsid w:val="002E77EE"/>
    <w:rsid w:val="002E78F3"/>
    <w:rsid w:val="002E7C71"/>
    <w:rsid w:val="002E7C7D"/>
    <w:rsid w:val="002E7E6B"/>
    <w:rsid w:val="002E7EF6"/>
    <w:rsid w:val="002F022B"/>
    <w:rsid w:val="002F0759"/>
    <w:rsid w:val="002F09B4"/>
    <w:rsid w:val="002F0F7E"/>
    <w:rsid w:val="002F127A"/>
    <w:rsid w:val="002F19DE"/>
    <w:rsid w:val="002F1E6D"/>
    <w:rsid w:val="002F22B8"/>
    <w:rsid w:val="002F22F5"/>
    <w:rsid w:val="002F2385"/>
    <w:rsid w:val="002F28B0"/>
    <w:rsid w:val="002F2BF9"/>
    <w:rsid w:val="002F34B1"/>
    <w:rsid w:val="002F39CC"/>
    <w:rsid w:val="002F3DA9"/>
    <w:rsid w:val="002F4FBD"/>
    <w:rsid w:val="002F5686"/>
    <w:rsid w:val="002F5826"/>
    <w:rsid w:val="002F58D5"/>
    <w:rsid w:val="002F5B6D"/>
    <w:rsid w:val="002F5CB4"/>
    <w:rsid w:val="002F6363"/>
    <w:rsid w:val="002F63AB"/>
    <w:rsid w:val="002F6620"/>
    <w:rsid w:val="002F67C4"/>
    <w:rsid w:val="002F6BAB"/>
    <w:rsid w:val="002F6CB1"/>
    <w:rsid w:val="002F7090"/>
    <w:rsid w:val="002F71BB"/>
    <w:rsid w:val="002F737E"/>
    <w:rsid w:val="002F75EB"/>
    <w:rsid w:val="002F7772"/>
    <w:rsid w:val="002F7B5C"/>
    <w:rsid w:val="002F7DEC"/>
    <w:rsid w:val="002F7E8C"/>
    <w:rsid w:val="003001A8"/>
    <w:rsid w:val="0030063A"/>
    <w:rsid w:val="00300E89"/>
    <w:rsid w:val="00300E94"/>
    <w:rsid w:val="00300EFD"/>
    <w:rsid w:val="00301170"/>
    <w:rsid w:val="00301190"/>
    <w:rsid w:val="0030144E"/>
    <w:rsid w:val="0030156C"/>
    <w:rsid w:val="00301946"/>
    <w:rsid w:val="0030194E"/>
    <w:rsid w:val="00301971"/>
    <w:rsid w:val="00301C22"/>
    <w:rsid w:val="00301CC1"/>
    <w:rsid w:val="00301FFC"/>
    <w:rsid w:val="003020A2"/>
    <w:rsid w:val="00302607"/>
    <w:rsid w:val="00302622"/>
    <w:rsid w:val="00302B23"/>
    <w:rsid w:val="00303129"/>
    <w:rsid w:val="003038B1"/>
    <w:rsid w:val="00303B37"/>
    <w:rsid w:val="00304149"/>
    <w:rsid w:val="003043F6"/>
    <w:rsid w:val="003045F4"/>
    <w:rsid w:val="0030500E"/>
    <w:rsid w:val="0030576E"/>
    <w:rsid w:val="00305819"/>
    <w:rsid w:val="00305CD8"/>
    <w:rsid w:val="00306158"/>
    <w:rsid w:val="003061E0"/>
    <w:rsid w:val="0030650E"/>
    <w:rsid w:val="00306A06"/>
    <w:rsid w:val="00306A58"/>
    <w:rsid w:val="003074DD"/>
    <w:rsid w:val="003074FB"/>
    <w:rsid w:val="0030789C"/>
    <w:rsid w:val="00307D00"/>
    <w:rsid w:val="00307EB5"/>
    <w:rsid w:val="00310510"/>
    <w:rsid w:val="00310C2B"/>
    <w:rsid w:val="00311214"/>
    <w:rsid w:val="00311C43"/>
    <w:rsid w:val="00312497"/>
    <w:rsid w:val="003125BF"/>
    <w:rsid w:val="0031283C"/>
    <w:rsid w:val="00312B35"/>
    <w:rsid w:val="00312BB9"/>
    <w:rsid w:val="00312CAC"/>
    <w:rsid w:val="00312D44"/>
    <w:rsid w:val="0031363A"/>
    <w:rsid w:val="003136BC"/>
    <w:rsid w:val="0031386F"/>
    <w:rsid w:val="003139C0"/>
    <w:rsid w:val="00313B88"/>
    <w:rsid w:val="00313DC4"/>
    <w:rsid w:val="0031406A"/>
    <w:rsid w:val="0031425B"/>
    <w:rsid w:val="0031439F"/>
    <w:rsid w:val="00314B38"/>
    <w:rsid w:val="003159A2"/>
    <w:rsid w:val="00316859"/>
    <w:rsid w:val="00316AC0"/>
    <w:rsid w:val="00316F00"/>
    <w:rsid w:val="00316F44"/>
    <w:rsid w:val="00316F90"/>
    <w:rsid w:val="00317450"/>
    <w:rsid w:val="003177B2"/>
    <w:rsid w:val="003179C7"/>
    <w:rsid w:val="00317A87"/>
    <w:rsid w:val="00317AA9"/>
    <w:rsid w:val="00317EA8"/>
    <w:rsid w:val="00317FE4"/>
    <w:rsid w:val="00320084"/>
    <w:rsid w:val="00320155"/>
    <w:rsid w:val="003201B2"/>
    <w:rsid w:val="0032076D"/>
    <w:rsid w:val="00320F9F"/>
    <w:rsid w:val="00321526"/>
    <w:rsid w:val="00321825"/>
    <w:rsid w:val="003218F4"/>
    <w:rsid w:val="003219DA"/>
    <w:rsid w:val="00321A3C"/>
    <w:rsid w:val="00321A8F"/>
    <w:rsid w:val="00321CAD"/>
    <w:rsid w:val="00322AB1"/>
    <w:rsid w:val="00322F4D"/>
    <w:rsid w:val="00323391"/>
    <w:rsid w:val="003235BD"/>
    <w:rsid w:val="00323D88"/>
    <w:rsid w:val="003240EB"/>
    <w:rsid w:val="00324364"/>
    <w:rsid w:val="0032437A"/>
    <w:rsid w:val="0032451E"/>
    <w:rsid w:val="003248BC"/>
    <w:rsid w:val="00324B99"/>
    <w:rsid w:val="003251DF"/>
    <w:rsid w:val="0032539E"/>
    <w:rsid w:val="003253EF"/>
    <w:rsid w:val="00325519"/>
    <w:rsid w:val="003255D7"/>
    <w:rsid w:val="00325F25"/>
    <w:rsid w:val="003261D2"/>
    <w:rsid w:val="00326442"/>
    <w:rsid w:val="003264AA"/>
    <w:rsid w:val="003265D9"/>
    <w:rsid w:val="003271B4"/>
    <w:rsid w:val="0032723B"/>
    <w:rsid w:val="003278A4"/>
    <w:rsid w:val="003306BA"/>
    <w:rsid w:val="00330AF2"/>
    <w:rsid w:val="00330B0A"/>
    <w:rsid w:val="00330BA8"/>
    <w:rsid w:val="00330C53"/>
    <w:rsid w:val="003311FB"/>
    <w:rsid w:val="0033125C"/>
    <w:rsid w:val="00331274"/>
    <w:rsid w:val="00331519"/>
    <w:rsid w:val="00331A59"/>
    <w:rsid w:val="00331BBC"/>
    <w:rsid w:val="00331FED"/>
    <w:rsid w:val="00332272"/>
    <w:rsid w:val="00332574"/>
    <w:rsid w:val="00332C76"/>
    <w:rsid w:val="00332E0E"/>
    <w:rsid w:val="00333387"/>
    <w:rsid w:val="00333775"/>
    <w:rsid w:val="00333DD4"/>
    <w:rsid w:val="00333E1D"/>
    <w:rsid w:val="00333FD4"/>
    <w:rsid w:val="0033454C"/>
    <w:rsid w:val="00334CC8"/>
    <w:rsid w:val="00334D0C"/>
    <w:rsid w:val="00334FB1"/>
    <w:rsid w:val="003354D6"/>
    <w:rsid w:val="0033559B"/>
    <w:rsid w:val="00335860"/>
    <w:rsid w:val="003358D3"/>
    <w:rsid w:val="003362CC"/>
    <w:rsid w:val="003367DE"/>
    <w:rsid w:val="003368E4"/>
    <w:rsid w:val="00336EF0"/>
    <w:rsid w:val="003375AD"/>
    <w:rsid w:val="003375CE"/>
    <w:rsid w:val="003376A4"/>
    <w:rsid w:val="003378D5"/>
    <w:rsid w:val="00337A07"/>
    <w:rsid w:val="00337ED3"/>
    <w:rsid w:val="0034022F"/>
    <w:rsid w:val="0034025A"/>
    <w:rsid w:val="003402AA"/>
    <w:rsid w:val="00340461"/>
    <w:rsid w:val="00340464"/>
    <w:rsid w:val="00341195"/>
    <w:rsid w:val="0034199F"/>
    <w:rsid w:val="00341AE1"/>
    <w:rsid w:val="00341E38"/>
    <w:rsid w:val="00342151"/>
    <w:rsid w:val="003421AD"/>
    <w:rsid w:val="00342263"/>
    <w:rsid w:val="003425E2"/>
    <w:rsid w:val="003429A5"/>
    <w:rsid w:val="00342F56"/>
    <w:rsid w:val="003435B7"/>
    <w:rsid w:val="00343DA8"/>
    <w:rsid w:val="00343EA4"/>
    <w:rsid w:val="003440F8"/>
    <w:rsid w:val="00344170"/>
    <w:rsid w:val="00344B54"/>
    <w:rsid w:val="00344D4E"/>
    <w:rsid w:val="00344F06"/>
    <w:rsid w:val="003455C5"/>
    <w:rsid w:val="00345F7C"/>
    <w:rsid w:val="003468A7"/>
    <w:rsid w:val="003471B7"/>
    <w:rsid w:val="003473DB"/>
    <w:rsid w:val="00347659"/>
    <w:rsid w:val="00347AED"/>
    <w:rsid w:val="00347CF5"/>
    <w:rsid w:val="00347F14"/>
    <w:rsid w:val="00350F22"/>
    <w:rsid w:val="00350FE5"/>
    <w:rsid w:val="00351164"/>
    <w:rsid w:val="0035140E"/>
    <w:rsid w:val="003514E5"/>
    <w:rsid w:val="003519D4"/>
    <w:rsid w:val="00351A18"/>
    <w:rsid w:val="00351A60"/>
    <w:rsid w:val="0035266A"/>
    <w:rsid w:val="003529D5"/>
    <w:rsid w:val="00352C15"/>
    <w:rsid w:val="00352EC5"/>
    <w:rsid w:val="00353135"/>
    <w:rsid w:val="00353943"/>
    <w:rsid w:val="00353DEB"/>
    <w:rsid w:val="00353E4C"/>
    <w:rsid w:val="003546B3"/>
    <w:rsid w:val="003548C6"/>
    <w:rsid w:val="00354C3D"/>
    <w:rsid w:val="00354F58"/>
    <w:rsid w:val="0035505D"/>
    <w:rsid w:val="00355377"/>
    <w:rsid w:val="00355739"/>
    <w:rsid w:val="00355826"/>
    <w:rsid w:val="00355CB7"/>
    <w:rsid w:val="00355EAA"/>
    <w:rsid w:val="00355ED5"/>
    <w:rsid w:val="00355F2F"/>
    <w:rsid w:val="0035632F"/>
    <w:rsid w:val="003565F3"/>
    <w:rsid w:val="00356C24"/>
    <w:rsid w:val="00357199"/>
    <w:rsid w:val="00357494"/>
    <w:rsid w:val="003574CD"/>
    <w:rsid w:val="003575B6"/>
    <w:rsid w:val="003579E0"/>
    <w:rsid w:val="00357A5D"/>
    <w:rsid w:val="00357D65"/>
    <w:rsid w:val="00357FC1"/>
    <w:rsid w:val="003605F3"/>
    <w:rsid w:val="003607C4"/>
    <w:rsid w:val="003612A8"/>
    <w:rsid w:val="0036133E"/>
    <w:rsid w:val="00361B80"/>
    <w:rsid w:val="00361BD8"/>
    <w:rsid w:val="00361E39"/>
    <w:rsid w:val="0036208D"/>
    <w:rsid w:val="003620C3"/>
    <w:rsid w:val="003622D8"/>
    <w:rsid w:val="00362325"/>
    <w:rsid w:val="0036235B"/>
    <w:rsid w:val="003629D2"/>
    <w:rsid w:val="0036300A"/>
    <w:rsid w:val="003630F7"/>
    <w:rsid w:val="00363A76"/>
    <w:rsid w:val="00363A93"/>
    <w:rsid w:val="00363AAF"/>
    <w:rsid w:val="0036406B"/>
    <w:rsid w:val="003643ED"/>
    <w:rsid w:val="0036470B"/>
    <w:rsid w:val="00364898"/>
    <w:rsid w:val="00364B04"/>
    <w:rsid w:val="00364F44"/>
    <w:rsid w:val="003650C4"/>
    <w:rsid w:val="003650F0"/>
    <w:rsid w:val="0036520E"/>
    <w:rsid w:val="00365ACC"/>
    <w:rsid w:val="00365D82"/>
    <w:rsid w:val="003664A2"/>
    <w:rsid w:val="003665A9"/>
    <w:rsid w:val="00366635"/>
    <w:rsid w:val="00366687"/>
    <w:rsid w:val="00367432"/>
    <w:rsid w:val="00367774"/>
    <w:rsid w:val="0037010D"/>
    <w:rsid w:val="00370468"/>
    <w:rsid w:val="003704C0"/>
    <w:rsid w:val="00370F7E"/>
    <w:rsid w:val="003714CF"/>
    <w:rsid w:val="00371873"/>
    <w:rsid w:val="00371AE0"/>
    <w:rsid w:val="00371C64"/>
    <w:rsid w:val="003727FF"/>
    <w:rsid w:val="0037280D"/>
    <w:rsid w:val="0037297C"/>
    <w:rsid w:val="00372B0B"/>
    <w:rsid w:val="00373019"/>
    <w:rsid w:val="00373154"/>
    <w:rsid w:val="00373255"/>
    <w:rsid w:val="0037340E"/>
    <w:rsid w:val="00373538"/>
    <w:rsid w:val="003735A6"/>
    <w:rsid w:val="0037390A"/>
    <w:rsid w:val="00373A7E"/>
    <w:rsid w:val="003741C1"/>
    <w:rsid w:val="003742C4"/>
    <w:rsid w:val="003743B1"/>
    <w:rsid w:val="00374418"/>
    <w:rsid w:val="0037451A"/>
    <w:rsid w:val="00374681"/>
    <w:rsid w:val="003746E1"/>
    <w:rsid w:val="00374D11"/>
    <w:rsid w:val="00374E2D"/>
    <w:rsid w:val="00374EBE"/>
    <w:rsid w:val="00375332"/>
    <w:rsid w:val="003757F0"/>
    <w:rsid w:val="00375827"/>
    <w:rsid w:val="00375AC0"/>
    <w:rsid w:val="00376FD1"/>
    <w:rsid w:val="00377277"/>
    <w:rsid w:val="00377BFB"/>
    <w:rsid w:val="00377C61"/>
    <w:rsid w:val="0038022A"/>
    <w:rsid w:val="003806CF"/>
    <w:rsid w:val="00380C03"/>
    <w:rsid w:val="00380DE9"/>
    <w:rsid w:val="00381027"/>
    <w:rsid w:val="0038136A"/>
    <w:rsid w:val="00381B5F"/>
    <w:rsid w:val="00381E8C"/>
    <w:rsid w:val="00382332"/>
    <w:rsid w:val="00382473"/>
    <w:rsid w:val="003824FE"/>
    <w:rsid w:val="00382683"/>
    <w:rsid w:val="00382A1E"/>
    <w:rsid w:val="00382A32"/>
    <w:rsid w:val="00382A81"/>
    <w:rsid w:val="00383305"/>
    <w:rsid w:val="0038331D"/>
    <w:rsid w:val="0038384E"/>
    <w:rsid w:val="00383A1B"/>
    <w:rsid w:val="00383FDE"/>
    <w:rsid w:val="00384042"/>
    <w:rsid w:val="00384AEA"/>
    <w:rsid w:val="00384E57"/>
    <w:rsid w:val="003850C6"/>
    <w:rsid w:val="003858D4"/>
    <w:rsid w:val="003860C9"/>
    <w:rsid w:val="003861B9"/>
    <w:rsid w:val="003864AC"/>
    <w:rsid w:val="003868D0"/>
    <w:rsid w:val="00386924"/>
    <w:rsid w:val="00386F96"/>
    <w:rsid w:val="00386FF1"/>
    <w:rsid w:val="0038709F"/>
    <w:rsid w:val="0038713E"/>
    <w:rsid w:val="0038726D"/>
    <w:rsid w:val="00387325"/>
    <w:rsid w:val="00387410"/>
    <w:rsid w:val="0038747B"/>
    <w:rsid w:val="0038765D"/>
    <w:rsid w:val="003879B1"/>
    <w:rsid w:val="00387A7F"/>
    <w:rsid w:val="00387AF3"/>
    <w:rsid w:val="00390A59"/>
    <w:rsid w:val="00390B96"/>
    <w:rsid w:val="00391240"/>
    <w:rsid w:val="0039188B"/>
    <w:rsid w:val="0039259D"/>
    <w:rsid w:val="00392839"/>
    <w:rsid w:val="003928E2"/>
    <w:rsid w:val="00392A00"/>
    <w:rsid w:val="00392CEE"/>
    <w:rsid w:val="00392D12"/>
    <w:rsid w:val="0039310E"/>
    <w:rsid w:val="0039323B"/>
    <w:rsid w:val="0039380A"/>
    <w:rsid w:val="0039392F"/>
    <w:rsid w:val="00393956"/>
    <w:rsid w:val="00393FA5"/>
    <w:rsid w:val="00394157"/>
    <w:rsid w:val="00394164"/>
    <w:rsid w:val="00394536"/>
    <w:rsid w:val="0039462F"/>
    <w:rsid w:val="00394934"/>
    <w:rsid w:val="00394B7E"/>
    <w:rsid w:val="003954F2"/>
    <w:rsid w:val="003958AA"/>
    <w:rsid w:val="00395982"/>
    <w:rsid w:val="00395C10"/>
    <w:rsid w:val="00395D93"/>
    <w:rsid w:val="00396012"/>
    <w:rsid w:val="00396D4F"/>
    <w:rsid w:val="00396DAA"/>
    <w:rsid w:val="00396EBA"/>
    <w:rsid w:val="0039708D"/>
    <w:rsid w:val="003971C4"/>
    <w:rsid w:val="00397508"/>
    <w:rsid w:val="00397516"/>
    <w:rsid w:val="00397702"/>
    <w:rsid w:val="003A00AD"/>
    <w:rsid w:val="003A0203"/>
    <w:rsid w:val="003A04DF"/>
    <w:rsid w:val="003A05A0"/>
    <w:rsid w:val="003A0844"/>
    <w:rsid w:val="003A0C4E"/>
    <w:rsid w:val="003A0F17"/>
    <w:rsid w:val="003A1086"/>
    <w:rsid w:val="003A1891"/>
    <w:rsid w:val="003A1A7A"/>
    <w:rsid w:val="003A1E1B"/>
    <w:rsid w:val="003A1EDB"/>
    <w:rsid w:val="003A2201"/>
    <w:rsid w:val="003A2485"/>
    <w:rsid w:val="003A24EB"/>
    <w:rsid w:val="003A2689"/>
    <w:rsid w:val="003A2711"/>
    <w:rsid w:val="003A2AA9"/>
    <w:rsid w:val="003A2AEA"/>
    <w:rsid w:val="003A2B14"/>
    <w:rsid w:val="003A2F61"/>
    <w:rsid w:val="003A323A"/>
    <w:rsid w:val="003A343C"/>
    <w:rsid w:val="003A37C1"/>
    <w:rsid w:val="003A3C9E"/>
    <w:rsid w:val="003A3D57"/>
    <w:rsid w:val="003A3F66"/>
    <w:rsid w:val="003A443F"/>
    <w:rsid w:val="003A45B2"/>
    <w:rsid w:val="003A4C69"/>
    <w:rsid w:val="003A5276"/>
    <w:rsid w:val="003A52F9"/>
    <w:rsid w:val="003A5506"/>
    <w:rsid w:val="003A56E0"/>
    <w:rsid w:val="003A5792"/>
    <w:rsid w:val="003A581D"/>
    <w:rsid w:val="003A5BE1"/>
    <w:rsid w:val="003A5CB1"/>
    <w:rsid w:val="003A631B"/>
    <w:rsid w:val="003A65EA"/>
    <w:rsid w:val="003A65F2"/>
    <w:rsid w:val="003A681E"/>
    <w:rsid w:val="003A6B14"/>
    <w:rsid w:val="003A6D48"/>
    <w:rsid w:val="003A7418"/>
    <w:rsid w:val="003A759D"/>
    <w:rsid w:val="003A7743"/>
    <w:rsid w:val="003A7772"/>
    <w:rsid w:val="003A782A"/>
    <w:rsid w:val="003A7866"/>
    <w:rsid w:val="003A7C38"/>
    <w:rsid w:val="003A7E70"/>
    <w:rsid w:val="003A7EA3"/>
    <w:rsid w:val="003A7F7C"/>
    <w:rsid w:val="003B01D7"/>
    <w:rsid w:val="003B0203"/>
    <w:rsid w:val="003B05DB"/>
    <w:rsid w:val="003B0665"/>
    <w:rsid w:val="003B06E4"/>
    <w:rsid w:val="003B0996"/>
    <w:rsid w:val="003B1395"/>
    <w:rsid w:val="003B13F3"/>
    <w:rsid w:val="003B21F5"/>
    <w:rsid w:val="003B2410"/>
    <w:rsid w:val="003B2659"/>
    <w:rsid w:val="003B2D27"/>
    <w:rsid w:val="003B2F3E"/>
    <w:rsid w:val="003B311A"/>
    <w:rsid w:val="003B358E"/>
    <w:rsid w:val="003B374B"/>
    <w:rsid w:val="003B3940"/>
    <w:rsid w:val="003B3B09"/>
    <w:rsid w:val="003B3CAE"/>
    <w:rsid w:val="003B3F2C"/>
    <w:rsid w:val="003B405C"/>
    <w:rsid w:val="003B4377"/>
    <w:rsid w:val="003B4399"/>
    <w:rsid w:val="003B43C6"/>
    <w:rsid w:val="003B4A00"/>
    <w:rsid w:val="003B4E6F"/>
    <w:rsid w:val="003B5156"/>
    <w:rsid w:val="003B53C5"/>
    <w:rsid w:val="003B54CF"/>
    <w:rsid w:val="003B5535"/>
    <w:rsid w:val="003B6984"/>
    <w:rsid w:val="003B69BF"/>
    <w:rsid w:val="003B6BE1"/>
    <w:rsid w:val="003B6CD8"/>
    <w:rsid w:val="003B6D3B"/>
    <w:rsid w:val="003B6D86"/>
    <w:rsid w:val="003B6DDC"/>
    <w:rsid w:val="003B6FC3"/>
    <w:rsid w:val="003B7494"/>
    <w:rsid w:val="003B7797"/>
    <w:rsid w:val="003B7BE4"/>
    <w:rsid w:val="003C0191"/>
    <w:rsid w:val="003C0351"/>
    <w:rsid w:val="003C03DE"/>
    <w:rsid w:val="003C06BD"/>
    <w:rsid w:val="003C0801"/>
    <w:rsid w:val="003C1072"/>
    <w:rsid w:val="003C11A1"/>
    <w:rsid w:val="003C1476"/>
    <w:rsid w:val="003C1E47"/>
    <w:rsid w:val="003C21BC"/>
    <w:rsid w:val="003C226F"/>
    <w:rsid w:val="003C269E"/>
    <w:rsid w:val="003C269F"/>
    <w:rsid w:val="003C2CAD"/>
    <w:rsid w:val="003C2EDF"/>
    <w:rsid w:val="003C3A5F"/>
    <w:rsid w:val="003C3F53"/>
    <w:rsid w:val="003C44D9"/>
    <w:rsid w:val="003C49F9"/>
    <w:rsid w:val="003C4A97"/>
    <w:rsid w:val="003C4F64"/>
    <w:rsid w:val="003C52B5"/>
    <w:rsid w:val="003C55E0"/>
    <w:rsid w:val="003C5877"/>
    <w:rsid w:val="003C5CB0"/>
    <w:rsid w:val="003C5D9E"/>
    <w:rsid w:val="003C5DA1"/>
    <w:rsid w:val="003C5DF7"/>
    <w:rsid w:val="003C5E8E"/>
    <w:rsid w:val="003C6304"/>
    <w:rsid w:val="003C645F"/>
    <w:rsid w:val="003C64DF"/>
    <w:rsid w:val="003C65FD"/>
    <w:rsid w:val="003C667D"/>
    <w:rsid w:val="003C6AB2"/>
    <w:rsid w:val="003C6AB5"/>
    <w:rsid w:val="003C6D5E"/>
    <w:rsid w:val="003C6F52"/>
    <w:rsid w:val="003C7097"/>
    <w:rsid w:val="003C7171"/>
    <w:rsid w:val="003C7218"/>
    <w:rsid w:val="003C78B2"/>
    <w:rsid w:val="003C7FC5"/>
    <w:rsid w:val="003D0436"/>
    <w:rsid w:val="003D043D"/>
    <w:rsid w:val="003D0B8C"/>
    <w:rsid w:val="003D0FF9"/>
    <w:rsid w:val="003D1435"/>
    <w:rsid w:val="003D152A"/>
    <w:rsid w:val="003D154E"/>
    <w:rsid w:val="003D1D0E"/>
    <w:rsid w:val="003D2ACC"/>
    <w:rsid w:val="003D2B21"/>
    <w:rsid w:val="003D3588"/>
    <w:rsid w:val="003D4255"/>
    <w:rsid w:val="003D469E"/>
    <w:rsid w:val="003D4D96"/>
    <w:rsid w:val="003D5069"/>
    <w:rsid w:val="003D50FE"/>
    <w:rsid w:val="003D5296"/>
    <w:rsid w:val="003D55B1"/>
    <w:rsid w:val="003D57FA"/>
    <w:rsid w:val="003D5AF7"/>
    <w:rsid w:val="003D5EEF"/>
    <w:rsid w:val="003D601F"/>
    <w:rsid w:val="003D659B"/>
    <w:rsid w:val="003D73CE"/>
    <w:rsid w:val="003D75C1"/>
    <w:rsid w:val="003D7634"/>
    <w:rsid w:val="003D7906"/>
    <w:rsid w:val="003D7C35"/>
    <w:rsid w:val="003D7EBE"/>
    <w:rsid w:val="003D7F14"/>
    <w:rsid w:val="003E001A"/>
    <w:rsid w:val="003E0516"/>
    <w:rsid w:val="003E0A9B"/>
    <w:rsid w:val="003E0BD0"/>
    <w:rsid w:val="003E1000"/>
    <w:rsid w:val="003E114D"/>
    <w:rsid w:val="003E1232"/>
    <w:rsid w:val="003E16A8"/>
    <w:rsid w:val="003E1728"/>
    <w:rsid w:val="003E1786"/>
    <w:rsid w:val="003E192C"/>
    <w:rsid w:val="003E1EBF"/>
    <w:rsid w:val="003E2604"/>
    <w:rsid w:val="003E2839"/>
    <w:rsid w:val="003E2E52"/>
    <w:rsid w:val="003E3008"/>
    <w:rsid w:val="003E343A"/>
    <w:rsid w:val="003E3466"/>
    <w:rsid w:val="003E3585"/>
    <w:rsid w:val="003E3A29"/>
    <w:rsid w:val="003E3CBD"/>
    <w:rsid w:val="003E4060"/>
    <w:rsid w:val="003E4077"/>
    <w:rsid w:val="003E41D9"/>
    <w:rsid w:val="003E4556"/>
    <w:rsid w:val="003E4968"/>
    <w:rsid w:val="003E4B6A"/>
    <w:rsid w:val="003E4D7D"/>
    <w:rsid w:val="003E4DD4"/>
    <w:rsid w:val="003E5092"/>
    <w:rsid w:val="003E5217"/>
    <w:rsid w:val="003E5406"/>
    <w:rsid w:val="003E5C8B"/>
    <w:rsid w:val="003E5D44"/>
    <w:rsid w:val="003E60DA"/>
    <w:rsid w:val="003E6552"/>
    <w:rsid w:val="003E6559"/>
    <w:rsid w:val="003E67F9"/>
    <w:rsid w:val="003E6838"/>
    <w:rsid w:val="003E6AF4"/>
    <w:rsid w:val="003E6F91"/>
    <w:rsid w:val="003E7383"/>
    <w:rsid w:val="003E7451"/>
    <w:rsid w:val="003E7635"/>
    <w:rsid w:val="003E76D1"/>
    <w:rsid w:val="003E77A0"/>
    <w:rsid w:val="003E77AB"/>
    <w:rsid w:val="003E793D"/>
    <w:rsid w:val="003E7B8F"/>
    <w:rsid w:val="003E7D84"/>
    <w:rsid w:val="003E7E4C"/>
    <w:rsid w:val="003F0084"/>
    <w:rsid w:val="003F03D6"/>
    <w:rsid w:val="003F07EE"/>
    <w:rsid w:val="003F0A6B"/>
    <w:rsid w:val="003F0C6F"/>
    <w:rsid w:val="003F0D64"/>
    <w:rsid w:val="003F13B6"/>
    <w:rsid w:val="003F14C8"/>
    <w:rsid w:val="003F1620"/>
    <w:rsid w:val="003F1DF8"/>
    <w:rsid w:val="003F1FD8"/>
    <w:rsid w:val="003F20B2"/>
    <w:rsid w:val="003F25FD"/>
    <w:rsid w:val="003F2734"/>
    <w:rsid w:val="003F2C43"/>
    <w:rsid w:val="003F2C93"/>
    <w:rsid w:val="003F2E27"/>
    <w:rsid w:val="003F30BE"/>
    <w:rsid w:val="003F3259"/>
    <w:rsid w:val="003F368C"/>
    <w:rsid w:val="003F3759"/>
    <w:rsid w:val="003F3942"/>
    <w:rsid w:val="003F3AF6"/>
    <w:rsid w:val="003F3C4E"/>
    <w:rsid w:val="003F3CCC"/>
    <w:rsid w:val="003F3DA0"/>
    <w:rsid w:val="003F42DD"/>
    <w:rsid w:val="003F460B"/>
    <w:rsid w:val="003F48A5"/>
    <w:rsid w:val="003F491C"/>
    <w:rsid w:val="003F4B7A"/>
    <w:rsid w:val="003F4E6C"/>
    <w:rsid w:val="003F5152"/>
    <w:rsid w:val="003F5A00"/>
    <w:rsid w:val="003F5A2D"/>
    <w:rsid w:val="003F5A75"/>
    <w:rsid w:val="003F5DD3"/>
    <w:rsid w:val="003F6900"/>
    <w:rsid w:val="003F700C"/>
    <w:rsid w:val="003F79B5"/>
    <w:rsid w:val="003F7A79"/>
    <w:rsid w:val="0040028D"/>
    <w:rsid w:val="00400D82"/>
    <w:rsid w:val="00400DC3"/>
    <w:rsid w:val="00400E05"/>
    <w:rsid w:val="00400E68"/>
    <w:rsid w:val="00401056"/>
    <w:rsid w:val="0040115E"/>
    <w:rsid w:val="004014E2"/>
    <w:rsid w:val="004016B6"/>
    <w:rsid w:val="00401808"/>
    <w:rsid w:val="00401DD6"/>
    <w:rsid w:val="0040208A"/>
    <w:rsid w:val="004025C9"/>
    <w:rsid w:val="004025EB"/>
    <w:rsid w:val="00403084"/>
    <w:rsid w:val="004039BE"/>
    <w:rsid w:val="00403D3F"/>
    <w:rsid w:val="00403DD5"/>
    <w:rsid w:val="00403FA7"/>
    <w:rsid w:val="0040404B"/>
    <w:rsid w:val="00404700"/>
    <w:rsid w:val="004047C1"/>
    <w:rsid w:val="004050DA"/>
    <w:rsid w:val="00405A5B"/>
    <w:rsid w:val="00405ABB"/>
    <w:rsid w:val="00405C31"/>
    <w:rsid w:val="00405C8A"/>
    <w:rsid w:val="004061FF"/>
    <w:rsid w:val="004062AE"/>
    <w:rsid w:val="004067DF"/>
    <w:rsid w:val="00406C22"/>
    <w:rsid w:val="00406D09"/>
    <w:rsid w:val="00406E87"/>
    <w:rsid w:val="00407140"/>
    <w:rsid w:val="0040718E"/>
    <w:rsid w:val="004076DC"/>
    <w:rsid w:val="00407799"/>
    <w:rsid w:val="004079CD"/>
    <w:rsid w:val="00407BFB"/>
    <w:rsid w:val="00407CE3"/>
    <w:rsid w:val="004100C3"/>
    <w:rsid w:val="00410967"/>
    <w:rsid w:val="004109DC"/>
    <w:rsid w:val="0041131C"/>
    <w:rsid w:val="004113A1"/>
    <w:rsid w:val="00411628"/>
    <w:rsid w:val="00411689"/>
    <w:rsid w:val="00412062"/>
    <w:rsid w:val="00412163"/>
    <w:rsid w:val="00412428"/>
    <w:rsid w:val="0041277A"/>
    <w:rsid w:val="00412914"/>
    <w:rsid w:val="00412B44"/>
    <w:rsid w:val="004130E7"/>
    <w:rsid w:val="0041342A"/>
    <w:rsid w:val="004139BA"/>
    <w:rsid w:val="00413B3A"/>
    <w:rsid w:val="0041436E"/>
    <w:rsid w:val="00414650"/>
    <w:rsid w:val="0041473F"/>
    <w:rsid w:val="004147D5"/>
    <w:rsid w:val="00414A6F"/>
    <w:rsid w:val="00414A92"/>
    <w:rsid w:val="00415359"/>
    <w:rsid w:val="004153C0"/>
    <w:rsid w:val="0041540B"/>
    <w:rsid w:val="00415CE4"/>
    <w:rsid w:val="00415D14"/>
    <w:rsid w:val="00416408"/>
    <w:rsid w:val="0041651B"/>
    <w:rsid w:val="00416890"/>
    <w:rsid w:val="004169A0"/>
    <w:rsid w:val="0041738F"/>
    <w:rsid w:val="0041757C"/>
    <w:rsid w:val="004177CA"/>
    <w:rsid w:val="00417901"/>
    <w:rsid w:val="00417B21"/>
    <w:rsid w:val="0042040A"/>
    <w:rsid w:val="00420E28"/>
    <w:rsid w:val="004215CB"/>
    <w:rsid w:val="004219F3"/>
    <w:rsid w:val="00421A15"/>
    <w:rsid w:val="00421B79"/>
    <w:rsid w:val="00421F60"/>
    <w:rsid w:val="00422104"/>
    <w:rsid w:val="004222AC"/>
    <w:rsid w:val="004222EA"/>
    <w:rsid w:val="00422E61"/>
    <w:rsid w:val="00423098"/>
    <w:rsid w:val="004236C0"/>
    <w:rsid w:val="0042380C"/>
    <w:rsid w:val="00423928"/>
    <w:rsid w:val="00423C48"/>
    <w:rsid w:val="00423FB4"/>
    <w:rsid w:val="004245C5"/>
    <w:rsid w:val="0042464E"/>
    <w:rsid w:val="004247B3"/>
    <w:rsid w:val="00424D7D"/>
    <w:rsid w:val="00424EBF"/>
    <w:rsid w:val="004252FF"/>
    <w:rsid w:val="0042558B"/>
    <w:rsid w:val="004256E3"/>
    <w:rsid w:val="00425B86"/>
    <w:rsid w:val="00425CF4"/>
    <w:rsid w:val="00426093"/>
    <w:rsid w:val="00426141"/>
    <w:rsid w:val="004262B8"/>
    <w:rsid w:val="00426351"/>
    <w:rsid w:val="0042651D"/>
    <w:rsid w:val="00426561"/>
    <w:rsid w:val="004266D6"/>
    <w:rsid w:val="0042683F"/>
    <w:rsid w:val="00426DDF"/>
    <w:rsid w:val="00427017"/>
    <w:rsid w:val="0042792D"/>
    <w:rsid w:val="00427F83"/>
    <w:rsid w:val="0042B663"/>
    <w:rsid w:val="00430D1D"/>
    <w:rsid w:val="00430DAD"/>
    <w:rsid w:val="004310BF"/>
    <w:rsid w:val="0043151F"/>
    <w:rsid w:val="0043157D"/>
    <w:rsid w:val="00431B31"/>
    <w:rsid w:val="00431C63"/>
    <w:rsid w:val="004320A8"/>
    <w:rsid w:val="0043217D"/>
    <w:rsid w:val="004326E6"/>
    <w:rsid w:val="004329F9"/>
    <w:rsid w:val="00432A8B"/>
    <w:rsid w:val="00432B87"/>
    <w:rsid w:val="00432BF7"/>
    <w:rsid w:val="00432D76"/>
    <w:rsid w:val="00432E78"/>
    <w:rsid w:val="00432F6B"/>
    <w:rsid w:val="0043403C"/>
    <w:rsid w:val="00434301"/>
    <w:rsid w:val="00434315"/>
    <w:rsid w:val="00434423"/>
    <w:rsid w:val="00434544"/>
    <w:rsid w:val="0043463D"/>
    <w:rsid w:val="00434BB9"/>
    <w:rsid w:val="00434CED"/>
    <w:rsid w:val="00434D1F"/>
    <w:rsid w:val="00434DF7"/>
    <w:rsid w:val="00434EA9"/>
    <w:rsid w:val="00435479"/>
    <w:rsid w:val="00435680"/>
    <w:rsid w:val="004357DE"/>
    <w:rsid w:val="00435D71"/>
    <w:rsid w:val="00436213"/>
    <w:rsid w:val="00436621"/>
    <w:rsid w:val="004367F0"/>
    <w:rsid w:val="00436BBB"/>
    <w:rsid w:val="00436C38"/>
    <w:rsid w:val="00436D55"/>
    <w:rsid w:val="004375B3"/>
    <w:rsid w:val="00437C7E"/>
    <w:rsid w:val="00440A71"/>
    <w:rsid w:val="00440ACF"/>
    <w:rsid w:val="00441534"/>
    <w:rsid w:val="00441BD1"/>
    <w:rsid w:val="00441DCB"/>
    <w:rsid w:val="004426FE"/>
    <w:rsid w:val="00442786"/>
    <w:rsid w:val="004427AE"/>
    <w:rsid w:val="00442D7E"/>
    <w:rsid w:val="00442DC5"/>
    <w:rsid w:val="00442F06"/>
    <w:rsid w:val="0044347F"/>
    <w:rsid w:val="004440C8"/>
    <w:rsid w:val="00444291"/>
    <w:rsid w:val="004442E2"/>
    <w:rsid w:val="0044494F"/>
    <w:rsid w:val="00444AA0"/>
    <w:rsid w:val="00444CCC"/>
    <w:rsid w:val="00444D80"/>
    <w:rsid w:val="00445E4F"/>
    <w:rsid w:val="00445FA9"/>
    <w:rsid w:val="004462CE"/>
    <w:rsid w:val="00446791"/>
    <w:rsid w:val="00446A0D"/>
    <w:rsid w:val="00446C80"/>
    <w:rsid w:val="00446D52"/>
    <w:rsid w:val="004471BB"/>
    <w:rsid w:val="00447B93"/>
    <w:rsid w:val="0045067D"/>
    <w:rsid w:val="00450702"/>
    <w:rsid w:val="00450FE5"/>
    <w:rsid w:val="00451048"/>
    <w:rsid w:val="004515F7"/>
    <w:rsid w:val="004519BD"/>
    <w:rsid w:val="00451D45"/>
    <w:rsid w:val="00451DA5"/>
    <w:rsid w:val="00451FDB"/>
    <w:rsid w:val="0045217F"/>
    <w:rsid w:val="00452A70"/>
    <w:rsid w:val="00452C82"/>
    <w:rsid w:val="00452D7D"/>
    <w:rsid w:val="00452F6D"/>
    <w:rsid w:val="004535C5"/>
    <w:rsid w:val="00453B63"/>
    <w:rsid w:val="00453D14"/>
    <w:rsid w:val="00454263"/>
    <w:rsid w:val="004543B0"/>
    <w:rsid w:val="0045441B"/>
    <w:rsid w:val="00454530"/>
    <w:rsid w:val="0045457E"/>
    <w:rsid w:val="00454690"/>
    <w:rsid w:val="00454B1F"/>
    <w:rsid w:val="004553A8"/>
    <w:rsid w:val="00455EF3"/>
    <w:rsid w:val="00455FE7"/>
    <w:rsid w:val="00456B4C"/>
    <w:rsid w:val="00456ED9"/>
    <w:rsid w:val="0045734E"/>
    <w:rsid w:val="0045745A"/>
    <w:rsid w:val="004574E9"/>
    <w:rsid w:val="00457742"/>
    <w:rsid w:val="00457884"/>
    <w:rsid w:val="00460284"/>
    <w:rsid w:val="004602CC"/>
    <w:rsid w:val="00460D2A"/>
    <w:rsid w:val="00460F44"/>
    <w:rsid w:val="0046101F"/>
    <w:rsid w:val="004611C2"/>
    <w:rsid w:val="0046165E"/>
    <w:rsid w:val="004618AB"/>
    <w:rsid w:val="00461A23"/>
    <w:rsid w:val="00461C74"/>
    <w:rsid w:val="004626D3"/>
    <w:rsid w:val="00462A16"/>
    <w:rsid w:val="00462B21"/>
    <w:rsid w:val="00462BDB"/>
    <w:rsid w:val="00462DA6"/>
    <w:rsid w:val="00463339"/>
    <w:rsid w:val="0046352C"/>
    <w:rsid w:val="004636BC"/>
    <w:rsid w:val="00463DF4"/>
    <w:rsid w:val="00463E5B"/>
    <w:rsid w:val="00463F0A"/>
    <w:rsid w:val="004640B8"/>
    <w:rsid w:val="004642B5"/>
    <w:rsid w:val="004644E3"/>
    <w:rsid w:val="004649FD"/>
    <w:rsid w:val="00464CAC"/>
    <w:rsid w:val="004654F9"/>
    <w:rsid w:val="004656A8"/>
    <w:rsid w:val="004657DB"/>
    <w:rsid w:val="00465B15"/>
    <w:rsid w:val="00465BF4"/>
    <w:rsid w:val="00465CA3"/>
    <w:rsid w:val="00465D66"/>
    <w:rsid w:val="00465E43"/>
    <w:rsid w:val="00465FB7"/>
    <w:rsid w:val="0046609C"/>
    <w:rsid w:val="004662C1"/>
    <w:rsid w:val="0046633D"/>
    <w:rsid w:val="00466514"/>
    <w:rsid w:val="004665FC"/>
    <w:rsid w:val="0046664C"/>
    <w:rsid w:val="00466EF9"/>
    <w:rsid w:val="00467523"/>
    <w:rsid w:val="00467595"/>
    <w:rsid w:val="00467802"/>
    <w:rsid w:val="00470561"/>
    <w:rsid w:val="004706F5"/>
    <w:rsid w:val="00470DA1"/>
    <w:rsid w:val="004713EF"/>
    <w:rsid w:val="004718DB"/>
    <w:rsid w:val="00472192"/>
    <w:rsid w:val="0047225D"/>
    <w:rsid w:val="0047257A"/>
    <w:rsid w:val="00472987"/>
    <w:rsid w:val="00472C08"/>
    <w:rsid w:val="00472E74"/>
    <w:rsid w:val="0047387A"/>
    <w:rsid w:val="0047388C"/>
    <w:rsid w:val="004738D0"/>
    <w:rsid w:val="00473D23"/>
    <w:rsid w:val="004740D2"/>
    <w:rsid w:val="00474104"/>
    <w:rsid w:val="0047460C"/>
    <w:rsid w:val="0047466B"/>
    <w:rsid w:val="004748C0"/>
    <w:rsid w:val="00474A02"/>
    <w:rsid w:val="00474BA4"/>
    <w:rsid w:val="00474CB8"/>
    <w:rsid w:val="004751D3"/>
    <w:rsid w:val="00475325"/>
    <w:rsid w:val="004759B7"/>
    <w:rsid w:val="00476014"/>
    <w:rsid w:val="0047735E"/>
    <w:rsid w:val="00477386"/>
    <w:rsid w:val="00477702"/>
    <w:rsid w:val="00477879"/>
    <w:rsid w:val="004778E0"/>
    <w:rsid w:val="00477BD5"/>
    <w:rsid w:val="00477D71"/>
    <w:rsid w:val="004808D4"/>
    <w:rsid w:val="00480B31"/>
    <w:rsid w:val="00480CD2"/>
    <w:rsid w:val="00480D97"/>
    <w:rsid w:val="00480FC5"/>
    <w:rsid w:val="0048144A"/>
    <w:rsid w:val="004814F6"/>
    <w:rsid w:val="00481A6D"/>
    <w:rsid w:val="00481A8B"/>
    <w:rsid w:val="00481AB9"/>
    <w:rsid w:val="00481B8B"/>
    <w:rsid w:val="00481BB0"/>
    <w:rsid w:val="00482380"/>
    <w:rsid w:val="00482663"/>
    <w:rsid w:val="004826EF"/>
    <w:rsid w:val="0048294B"/>
    <w:rsid w:val="004829E5"/>
    <w:rsid w:val="00482FA0"/>
    <w:rsid w:val="0048303B"/>
    <w:rsid w:val="004832E4"/>
    <w:rsid w:val="00483360"/>
    <w:rsid w:val="00483C1C"/>
    <w:rsid w:val="00483E50"/>
    <w:rsid w:val="00484052"/>
    <w:rsid w:val="0048436E"/>
    <w:rsid w:val="004846A5"/>
    <w:rsid w:val="00484844"/>
    <w:rsid w:val="00484926"/>
    <w:rsid w:val="00484AF8"/>
    <w:rsid w:val="00485329"/>
    <w:rsid w:val="004858E9"/>
    <w:rsid w:val="00485A2D"/>
    <w:rsid w:val="00485A8D"/>
    <w:rsid w:val="00486365"/>
    <w:rsid w:val="00486446"/>
    <w:rsid w:val="004870BA"/>
    <w:rsid w:val="00487268"/>
    <w:rsid w:val="00487309"/>
    <w:rsid w:val="0048739E"/>
    <w:rsid w:val="004873BD"/>
    <w:rsid w:val="004873E4"/>
    <w:rsid w:val="00487526"/>
    <w:rsid w:val="00487A3B"/>
    <w:rsid w:val="004903CE"/>
    <w:rsid w:val="0049044C"/>
    <w:rsid w:val="0049051E"/>
    <w:rsid w:val="004905A3"/>
    <w:rsid w:val="004906BD"/>
    <w:rsid w:val="00490AFC"/>
    <w:rsid w:val="00490C58"/>
    <w:rsid w:val="00490C8B"/>
    <w:rsid w:val="00490DC0"/>
    <w:rsid w:val="004912C8"/>
    <w:rsid w:val="00491811"/>
    <w:rsid w:val="00491BBC"/>
    <w:rsid w:val="0049244E"/>
    <w:rsid w:val="004924A2"/>
    <w:rsid w:val="00492D51"/>
    <w:rsid w:val="004932F3"/>
    <w:rsid w:val="0049332B"/>
    <w:rsid w:val="00493C3F"/>
    <w:rsid w:val="00493EBE"/>
    <w:rsid w:val="00493F4E"/>
    <w:rsid w:val="0049419E"/>
    <w:rsid w:val="00494210"/>
    <w:rsid w:val="00494591"/>
    <w:rsid w:val="00494E37"/>
    <w:rsid w:val="0049565A"/>
    <w:rsid w:val="00495B4A"/>
    <w:rsid w:val="004964F1"/>
    <w:rsid w:val="004968CA"/>
    <w:rsid w:val="00496E1C"/>
    <w:rsid w:val="00496F5F"/>
    <w:rsid w:val="00496F95"/>
    <w:rsid w:val="0049713F"/>
    <w:rsid w:val="0049714E"/>
    <w:rsid w:val="0049743A"/>
    <w:rsid w:val="004979A5"/>
    <w:rsid w:val="004979BA"/>
    <w:rsid w:val="00497A2C"/>
    <w:rsid w:val="00497B34"/>
    <w:rsid w:val="004A02CF"/>
    <w:rsid w:val="004A03AD"/>
    <w:rsid w:val="004A06B7"/>
    <w:rsid w:val="004A06DF"/>
    <w:rsid w:val="004A0797"/>
    <w:rsid w:val="004A0A89"/>
    <w:rsid w:val="004A0B02"/>
    <w:rsid w:val="004A0B89"/>
    <w:rsid w:val="004A0C72"/>
    <w:rsid w:val="004A168A"/>
    <w:rsid w:val="004A1887"/>
    <w:rsid w:val="004A1AE1"/>
    <w:rsid w:val="004A1C62"/>
    <w:rsid w:val="004A1E50"/>
    <w:rsid w:val="004A1E6C"/>
    <w:rsid w:val="004A1F9A"/>
    <w:rsid w:val="004A2191"/>
    <w:rsid w:val="004A251A"/>
    <w:rsid w:val="004A26A2"/>
    <w:rsid w:val="004A2709"/>
    <w:rsid w:val="004A2A1E"/>
    <w:rsid w:val="004A2CD5"/>
    <w:rsid w:val="004A31BF"/>
    <w:rsid w:val="004A3661"/>
    <w:rsid w:val="004A3701"/>
    <w:rsid w:val="004A378F"/>
    <w:rsid w:val="004A389F"/>
    <w:rsid w:val="004A3A0E"/>
    <w:rsid w:val="004A4C19"/>
    <w:rsid w:val="004A4D2A"/>
    <w:rsid w:val="004A5192"/>
    <w:rsid w:val="004A5291"/>
    <w:rsid w:val="004A59A2"/>
    <w:rsid w:val="004A59EA"/>
    <w:rsid w:val="004A5CF8"/>
    <w:rsid w:val="004A5F93"/>
    <w:rsid w:val="004A6704"/>
    <w:rsid w:val="004A6F94"/>
    <w:rsid w:val="004A6FED"/>
    <w:rsid w:val="004A6FFC"/>
    <w:rsid w:val="004A704F"/>
    <w:rsid w:val="004A7053"/>
    <w:rsid w:val="004A7960"/>
    <w:rsid w:val="004A79DE"/>
    <w:rsid w:val="004B01B8"/>
    <w:rsid w:val="004B05D4"/>
    <w:rsid w:val="004B0AB8"/>
    <w:rsid w:val="004B0E82"/>
    <w:rsid w:val="004B10B4"/>
    <w:rsid w:val="004B135C"/>
    <w:rsid w:val="004B1577"/>
    <w:rsid w:val="004B16FD"/>
    <w:rsid w:val="004B1A09"/>
    <w:rsid w:val="004B210D"/>
    <w:rsid w:val="004B2285"/>
    <w:rsid w:val="004B2462"/>
    <w:rsid w:val="004B309B"/>
    <w:rsid w:val="004B3243"/>
    <w:rsid w:val="004B3903"/>
    <w:rsid w:val="004B3AD2"/>
    <w:rsid w:val="004B3E72"/>
    <w:rsid w:val="004B3FA5"/>
    <w:rsid w:val="004B404F"/>
    <w:rsid w:val="004B465B"/>
    <w:rsid w:val="004B46E9"/>
    <w:rsid w:val="004B478B"/>
    <w:rsid w:val="004B4810"/>
    <w:rsid w:val="004B4DF2"/>
    <w:rsid w:val="004B51F1"/>
    <w:rsid w:val="004B5836"/>
    <w:rsid w:val="004B5906"/>
    <w:rsid w:val="004B5A08"/>
    <w:rsid w:val="004B5D12"/>
    <w:rsid w:val="004B5DDF"/>
    <w:rsid w:val="004B6032"/>
    <w:rsid w:val="004B64B3"/>
    <w:rsid w:val="004B67F5"/>
    <w:rsid w:val="004B68E9"/>
    <w:rsid w:val="004B6B12"/>
    <w:rsid w:val="004B6BEF"/>
    <w:rsid w:val="004B7426"/>
    <w:rsid w:val="004B764A"/>
    <w:rsid w:val="004B7665"/>
    <w:rsid w:val="004B77D9"/>
    <w:rsid w:val="004B7899"/>
    <w:rsid w:val="004C0753"/>
    <w:rsid w:val="004C09BE"/>
    <w:rsid w:val="004C0B4D"/>
    <w:rsid w:val="004C0C99"/>
    <w:rsid w:val="004C119F"/>
    <w:rsid w:val="004C1A58"/>
    <w:rsid w:val="004C20C0"/>
    <w:rsid w:val="004C2237"/>
    <w:rsid w:val="004C2611"/>
    <w:rsid w:val="004C2A69"/>
    <w:rsid w:val="004C2F73"/>
    <w:rsid w:val="004C330C"/>
    <w:rsid w:val="004C3744"/>
    <w:rsid w:val="004C3BA3"/>
    <w:rsid w:val="004C3F4C"/>
    <w:rsid w:val="004C3FCA"/>
    <w:rsid w:val="004C4AC4"/>
    <w:rsid w:val="004C4EE2"/>
    <w:rsid w:val="004C4F7B"/>
    <w:rsid w:val="004C5C3B"/>
    <w:rsid w:val="004C61CF"/>
    <w:rsid w:val="004C6507"/>
    <w:rsid w:val="004C6D87"/>
    <w:rsid w:val="004C6EC3"/>
    <w:rsid w:val="004C6F5C"/>
    <w:rsid w:val="004C6FC6"/>
    <w:rsid w:val="004C714D"/>
    <w:rsid w:val="004C7262"/>
    <w:rsid w:val="004C76A7"/>
    <w:rsid w:val="004C7734"/>
    <w:rsid w:val="004C7D36"/>
    <w:rsid w:val="004C7D95"/>
    <w:rsid w:val="004D00C4"/>
    <w:rsid w:val="004D0155"/>
    <w:rsid w:val="004D0262"/>
    <w:rsid w:val="004D096C"/>
    <w:rsid w:val="004D0C95"/>
    <w:rsid w:val="004D12B2"/>
    <w:rsid w:val="004D1A28"/>
    <w:rsid w:val="004D1C70"/>
    <w:rsid w:val="004D1CBD"/>
    <w:rsid w:val="004D2418"/>
    <w:rsid w:val="004D25DB"/>
    <w:rsid w:val="004D2B02"/>
    <w:rsid w:val="004D2E0E"/>
    <w:rsid w:val="004D2FB3"/>
    <w:rsid w:val="004D3042"/>
    <w:rsid w:val="004D310D"/>
    <w:rsid w:val="004D32B3"/>
    <w:rsid w:val="004D3B5C"/>
    <w:rsid w:val="004D3EE0"/>
    <w:rsid w:val="004D3FE2"/>
    <w:rsid w:val="004D5198"/>
    <w:rsid w:val="004D5ADD"/>
    <w:rsid w:val="004D60CB"/>
    <w:rsid w:val="004D6455"/>
    <w:rsid w:val="004D6809"/>
    <w:rsid w:val="004D687D"/>
    <w:rsid w:val="004D6B65"/>
    <w:rsid w:val="004D6B6D"/>
    <w:rsid w:val="004D6E15"/>
    <w:rsid w:val="004D6FF2"/>
    <w:rsid w:val="004D77E8"/>
    <w:rsid w:val="004D793D"/>
    <w:rsid w:val="004D7DAC"/>
    <w:rsid w:val="004D7EF0"/>
    <w:rsid w:val="004E0221"/>
    <w:rsid w:val="004E049E"/>
    <w:rsid w:val="004E1DB2"/>
    <w:rsid w:val="004E1DBE"/>
    <w:rsid w:val="004E210F"/>
    <w:rsid w:val="004E2153"/>
    <w:rsid w:val="004E2432"/>
    <w:rsid w:val="004E25B9"/>
    <w:rsid w:val="004E27B2"/>
    <w:rsid w:val="004E2832"/>
    <w:rsid w:val="004E2876"/>
    <w:rsid w:val="004E2BA9"/>
    <w:rsid w:val="004E2C97"/>
    <w:rsid w:val="004E2EEC"/>
    <w:rsid w:val="004E37DB"/>
    <w:rsid w:val="004E3C0B"/>
    <w:rsid w:val="004E3CF6"/>
    <w:rsid w:val="004E3DD5"/>
    <w:rsid w:val="004E3E79"/>
    <w:rsid w:val="004E42DC"/>
    <w:rsid w:val="004E443A"/>
    <w:rsid w:val="004E4612"/>
    <w:rsid w:val="004E4762"/>
    <w:rsid w:val="004E488F"/>
    <w:rsid w:val="004E4B0A"/>
    <w:rsid w:val="004E4CB6"/>
    <w:rsid w:val="004E4DBF"/>
    <w:rsid w:val="004E59A6"/>
    <w:rsid w:val="004E5AD8"/>
    <w:rsid w:val="004E5CAE"/>
    <w:rsid w:val="004E5D8A"/>
    <w:rsid w:val="004E5DD9"/>
    <w:rsid w:val="004E5E5E"/>
    <w:rsid w:val="004E61E3"/>
    <w:rsid w:val="004E6482"/>
    <w:rsid w:val="004E6779"/>
    <w:rsid w:val="004E6817"/>
    <w:rsid w:val="004E6CB3"/>
    <w:rsid w:val="004E6DAA"/>
    <w:rsid w:val="004E6ECC"/>
    <w:rsid w:val="004E7220"/>
    <w:rsid w:val="004E86B5"/>
    <w:rsid w:val="004F008C"/>
    <w:rsid w:val="004F06B5"/>
    <w:rsid w:val="004F08BE"/>
    <w:rsid w:val="004F0A6D"/>
    <w:rsid w:val="004F0B40"/>
    <w:rsid w:val="004F0DEA"/>
    <w:rsid w:val="004F132C"/>
    <w:rsid w:val="004F1483"/>
    <w:rsid w:val="004F1543"/>
    <w:rsid w:val="004F157A"/>
    <w:rsid w:val="004F203A"/>
    <w:rsid w:val="004F2092"/>
    <w:rsid w:val="004F2210"/>
    <w:rsid w:val="004F235C"/>
    <w:rsid w:val="004F259D"/>
    <w:rsid w:val="004F25A6"/>
    <w:rsid w:val="004F2D08"/>
    <w:rsid w:val="004F2DE4"/>
    <w:rsid w:val="004F2E7B"/>
    <w:rsid w:val="004F3039"/>
    <w:rsid w:val="004F336D"/>
    <w:rsid w:val="004F3635"/>
    <w:rsid w:val="004F37FD"/>
    <w:rsid w:val="004F38E8"/>
    <w:rsid w:val="004F3A95"/>
    <w:rsid w:val="004F3C0A"/>
    <w:rsid w:val="004F434D"/>
    <w:rsid w:val="004F45A7"/>
    <w:rsid w:val="004F4E07"/>
    <w:rsid w:val="004F4F6A"/>
    <w:rsid w:val="004F5341"/>
    <w:rsid w:val="004F5409"/>
    <w:rsid w:val="004F590E"/>
    <w:rsid w:val="004F6169"/>
    <w:rsid w:val="004F620B"/>
    <w:rsid w:val="004F64E2"/>
    <w:rsid w:val="004F670C"/>
    <w:rsid w:val="004F6B79"/>
    <w:rsid w:val="004F6C5F"/>
    <w:rsid w:val="004F6CF3"/>
    <w:rsid w:val="004F6D18"/>
    <w:rsid w:val="004F6E7A"/>
    <w:rsid w:val="004F71CD"/>
    <w:rsid w:val="004F787C"/>
    <w:rsid w:val="004F7F99"/>
    <w:rsid w:val="004F7FB8"/>
    <w:rsid w:val="004FA626"/>
    <w:rsid w:val="005009BE"/>
    <w:rsid w:val="00500A57"/>
    <w:rsid w:val="00500CBD"/>
    <w:rsid w:val="00500D91"/>
    <w:rsid w:val="00500E10"/>
    <w:rsid w:val="005016D4"/>
    <w:rsid w:val="00501752"/>
    <w:rsid w:val="005019F5"/>
    <w:rsid w:val="00501C28"/>
    <w:rsid w:val="00501FCD"/>
    <w:rsid w:val="005022A3"/>
    <w:rsid w:val="005025BB"/>
    <w:rsid w:val="00502AFE"/>
    <w:rsid w:val="00502EBA"/>
    <w:rsid w:val="00502F88"/>
    <w:rsid w:val="00503271"/>
    <w:rsid w:val="005039CA"/>
    <w:rsid w:val="00503CBD"/>
    <w:rsid w:val="00503F1D"/>
    <w:rsid w:val="00503FD1"/>
    <w:rsid w:val="005046BE"/>
    <w:rsid w:val="00504B43"/>
    <w:rsid w:val="00504C24"/>
    <w:rsid w:val="005056CC"/>
    <w:rsid w:val="00505AA5"/>
    <w:rsid w:val="0050637A"/>
    <w:rsid w:val="00506964"/>
    <w:rsid w:val="00506C2A"/>
    <w:rsid w:val="00506F48"/>
    <w:rsid w:val="00507051"/>
    <w:rsid w:val="0050719D"/>
    <w:rsid w:val="00507502"/>
    <w:rsid w:val="00510AA7"/>
    <w:rsid w:val="00510AD7"/>
    <w:rsid w:val="00510C7C"/>
    <w:rsid w:val="00510D82"/>
    <w:rsid w:val="005110F6"/>
    <w:rsid w:val="005112F6"/>
    <w:rsid w:val="0051163A"/>
    <w:rsid w:val="00511A23"/>
    <w:rsid w:val="00511DDA"/>
    <w:rsid w:val="00511E61"/>
    <w:rsid w:val="0051248A"/>
    <w:rsid w:val="005124A8"/>
    <w:rsid w:val="00512997"/>
    <w:rsid w:val="005129D6"/>
    <w:rsid w:val="005132E9"/>
    <w:rsid w:val="0051330E"/>
    <w:rsid w:val="0051331E"/>
    <w:rsid w:val="005135E4"/>
    <w:rsid w:val="00513762"/>
    <w:rsid w:val="005137D1"/>
    <w:rsid w:val="00513AA5"/>
    <w:rsid w:val="00513CC8"/>
    <w:rsid w:val="00514254"/>
    <w:rsid w:val="00514340"/>
    <w:rsid w:val="0051441C"/>
    <w:rsid w:val="0051474D"/>
    <w:rsid w:val="00514853"/>
    <w:rsid w:val="00514B68"/>
    <w:rsid w:val="00515322"/>
    <w:rsid w:val="00515640"/>
    <w:rsid w:val="005156BA"/>
    <w:rsid w:val="0051595F"/>
    <w:rsid w:val="005162EB"/>
    <w:rsid w:val="0051638F"/>
    <w:rsid w:val="00516C6B"/>
    <w:rsid w:val="00516EA9"/>
    <w:rsid w:val="00517297"/>
    <w:rsid w:val="00517C18"/>
    <w:rsid w:val="00517D89"/>
    <w:rsid w:val="005204C3"/>
    <w:rsid w:val="00520C5A"/>
    <w:rsid w:val="00520CDD"/>
    <w:rsid w:val="00520E44"/>
    <w:rsid w:val="005211FB"/>
    <w:rsid w:val="00521372"/>
    <w:rsid w:val="00521634"/>
    <w:rsid w:val="0052191B"/>
    <w:rsid w:val="00521977"/>
    <w:rsid w:val="005219C8"/>
    <w:rsid w:val="00521D2F"/>
    <w:rsid w:val="005223D9"/>
    <w:rsid w:val="0052242F"/>
    <w:rsid w:val="005224FF"/>
    <w:rsid w:val="00522770"/>
    <w:rsid w:val="0052288A"/>
    <w:rsid w:val="0052299F"/>
    <w:rsid w:val="005229CC"/>
    <w:rsid w:val="00522D02"/>
    <w:rsid w:val="005232A5"/>
    <w:rsid w:val="00523B04"/>
    <w:rsid w:val="005242C9"/>
    <w:rsid w:val="005242FF"/>
    <w:rsid w:val="0052453B"/>
    <w:rsid w:val="00524636"/>
    <w:rsid w:val="00524B7B"/>
    <w:rsid w:val="00524E5B"/>
    <w:rsid w:val="00525508"/>
    <w:rsid w:val="0052551B"/>
    <w:rsid w:val="005255D3"/>
    <w:rsid w:val="00525831"/>
    <w:rsid w:val="00525E48"/>
    <w:rsid w:val="0052619B"/>
    <w:rsid w:val="00526491"/>
    <w:rsid w:val="005266B0"/>
    <w:rsid w:val="0052671C"/>
    <w:rsid w:val="005268B3"/>
    <w:rsid w:val="00526DD9"/>
    <w:rsid w:val="0052797B"/>
    <w:rsid w:val="00527A75"/>
    <w:rsid w:val="0053033A"/>
    <w:rsid w:val="0053072B"/>
    <w:rsid w:val="005309CF"/>
    <w:rsid w:val="00530A4D"/>
    <w:rsid w:val="00530A50"/>
    <w:rsid w:val="00530E0D"/>
    <w:rsid w:val="00530F6B"/>
    <w:rsid w:val="00531021"/>
    <w:rsid w:val="0053167A"/>
    <w:rsid w:val="00531A96"/>
    <w:rsid w:val="00531AF4"/>
    <w:rsid w:val="0053216F"/>
    <w:rsid w:val="00532421"/>
    <w:rsid w:val="0053247B"/>
    <w:rsid w:val="00532652"/>
    <w:rsid w:val="00532BF5"/>
    <w:rsid w:val="00532C4F"/>
    <w:rsid w:val="00532D65"/>
    <w:rsid w:val="00532DFF"/>
    <w:rsid w:val="005330A7"/>
    <w:rsid w:val="0053333B"/>
    <w:rsid w:val="00533656"/>
    <w:rsid w:val="0053373F"/>
    <w:rsid w:val="0053384C"/>
    <w:rsid w:val="00533A4D"/>
    <w:rsid w:val="00533B42"/>
    <w:rsid w:val="00534335"/>
    <w:rsid w:val="00534A61"/>
    <w:rsid w:val="00534B74"/>
    <w:rsid w:val="005355DA"/>
    <w:rsid w:val="00535848"/>
    <w:rsid w:val="00535FB9"/>
    <w:rsid w:val="00535FE6"/>
    <w:rsid w:val="00536474"/>
    <w:rsid w:val="00536BD5"/>
    <w:rsid w:val="005373CA"/>
    <w:rsid w:val="00537A42"/>
    <w:rsid w:val="00537C50"/>
    <w:rsid w:val="00537DAF"/>
    <w:rsid w:val="005401FA"/>
    <w:rsid w:val="00540708"/>
    <w:rsid w:val="005407D1"/>
    <w:rsid w:val="00540DA1"/>
    <w:rsid w:val="005414EE"/>
    <w:rsid w:val="00541970"/>
    <w:rsid w:val="00541C9C"/>
    <w:rsid w:val="00541DBC"/>
    <w:rsid w:val="005421D7"/>
    <w:rsid w:val="005428FB"/>
    <w:rsid w:val="0054292C"/>
    <w:rsid w:val="005429D7"/>
    <w:rsid w:val="00542DE0"/>
    <w:rsid w:val="00543086"/>
    <w:rsid w:val="00543108"/>
    <w:rsid w:val="0054328C"/>
    <w:rsid w:val="0054341A"/>
    <w:rsid w:val="005435DA"/>
    <w:rsid w:val="005437C8"/>
    <w:rsid w:val="005438AC"/>
    <w:rsid w:val="00543A49"/>
    <w:rsid w:val="00544783"/>
    <w:rsid w:val="0054493C"/>
    <w:rsid w:val="00544A58"/>
    <w:rsid w:val="005450A2"/>
    <w:rsid w:val="0054598F"/>
    <w:rsid w:val="00545B0A"/>
    <w:rsid w:val="00545D31"/>
    <w:rsid w:val="005464D4"/>
    <w:rsid w:val="00547165"/>
    <w:rsid w:val="00547907"/>
    <w:rsid w:val="0055011A"/>
    <w:rsid w:val="0055022D"/>
    <w:rsid w:val="005509DE"/>
    <w:rsid w:val="005512E7"/>
    <w:rsid w:val="0055194F"/>
    <w:rsid w:val="00551B45"/>
    <w:rsid w:val="00551E05"/>
    <w:rsid w:val="00552185"/>
    <w:rsid w:val="00552648"/>
    <w:rsid w:val="005526A6"/>
    <w:rsid w:val="00552890"/>
    <w:rsid w:val="0055296E"/>
    <w:rsid w:val="00552C5A"/>
    <w:rsid w:val="00552DFE"/>
    <w:rsid w:val="00552EBB"/>
    <w:rsid w:val="0055319E"/>
    <w:rsid w:val="0055350B"/>
    <w:rsid w:val="005535CE"/>
    <w:rsid w:val="0055393F"/>
    <w:rsid w:val="00553B20"/>
    <w:rsid w:val="00553E03"/>
    <w:rsid w:val="00553F0A"/>
    <w:rsid w:val="0055432E"/>
    <w:rsid w:val="00554656"/>
    <w:rsid w:val="00554685"/>
    <w:rsid w:val="005546ED"/>
    <w:rsid w:val="00554729"/>
    <w:rsid w:val="005547E1"/>
    <w:rsid w:val="0055489E"/>
    <w:rsid w:val="00554DB0"/>
    <w:rsid w:val="00554E0E"/>
    <w:rsid w:val="00554EB5"/>
    <w:rsid w:val="0055561A"/>
    <w:rsid w:val="005557C5"/>
    <w:rsid w:val="005558E4"/>
    <w:rsid w:val="00555DE1"/>
    <w:rsid w:val="00555F3B"/>
    <w:rsid w:val="00555F75"/>
    <w:rsid w:val="00555F91"/>
    <w:rsid w:val="00556396"/>
    <w:rsid w:val="00556698"/>
    <w:rsid w:val="005567F2"/>
    <w:rsid w:val="005568A2"/>
    <w:rsid w:val="00556B16"/>
    <w:rsid w:val="00556E86"/>
    <w:rsid w:val="005570C9"/>
    <w:rsid w:val="005570E3"/>
    <w:rsid w:val="005571D0"/>
    <w:rsid w:val="005579A7"/>
    <w:rsid w:val="0056015E"/>
    <w:rsid w:val="005602DB"/>
    <w:rsid w:val="005604E7"/>
    <w:rsid w:val="0056108A"/>
    <w:rsid w:val="005612A5"/>
    <w:rsid w:val="005617A4"/>
    <w:rsid w:val="00562443"/>
    <w:rsid w:val="00562527"/>
    <w:rsid w:val="00562576"/>
    <w:rsid w:val="00562632"/>
    <w:rsid w:val="005626FD"/>
    <w:rsid w:val="00562C92"/>
    <w:rsid w:val="00563570"/>
    <w:rsid w:val="00563C01"/>
    <w:rsid w:val="00563F16"/>
    <w:rsid w:val="005643DA"/>
    <w:rsid w:val="00564794"/>
    <w:rsid w:val="00564A9E"/>
    <w:rsid w:val="0056506F"/>
    <w:rsid w:val="00565664"/>
    <w:rsid w:val="00565960"/>
    <w:rsid w:val="00565D10"/>
    <w:rsid w:val="0056650C"/>
    <w:rsid w:val="00566722"/>
    <w:rsid w:val="005668AB"/>
    <w:rsid w:val="00566A18"/>
    <w:rsid w:val="00566D80"/>
    <w:rsid w:val="00566E85"/>
    <w:rsid w:val="00567280"/>
    <w:rsid w:val="005672CA"/>
    <w:rsid w:val="005673EF"/>
    <w:rsid w:val="00567532"/>
    <w:rsid w:val="005675E1"/>
    <w:rsid w:val="00567E98"/>
    <w:rsid w:val="00570157"/>
    <w:rsid w:val="005704A7"/>
    <w:rsid w:val="00570506"/>
    <w:rsid w:val="005708D5"/>
    <w:rsid w:val="00570CC9"/>
    <w:rsid w:val="00570DDA"/>
    <w:rsid w:val="00570FE8"/>
    <w:rsid w:val="0057109C"/>
    <w:rsid w:val="005711AF"/>
    <w:rsid w:val="00571AEE"/>
    <w:rsid w:val="00572656"/>
    <w:rsid w:val="00572718"/>
    <w:rsid w:val="005729D7"/>
    <w:rsid w:val="00572CF4"/>
    <w:rsid w:val="00572DC7"/>
    <w:rsid w:val="00573050"/>
    <w:rsid w:val="00573AE1"/>
    <w:rsid w:val="00573B94"/>
    <w:rsid w:val="0057432F"/>
    <w:rsid w:val="0057471C"/>
    <w:rsid w:val="00574F70"/>
    <w:rsid w:val="00575798"/>
    <w:rsid w:val="00575898"/>
    <w:rsid w:val="00575BD2"/>
    <w:rsid w:val="00576042"/>
    <w:rsid w:val="00576103"/>
    <w:rsid w:val="005761BF"/>
    <w:rsid w:val="005763C3"/>
    <w:rsid w:val="00576602"/>
    <w:rsid w:val="00576847"/>
    <w:rsid w:val="00576ACD"/>
    <w:rsid w:val="00576DD5"/>
    <w:rsid w:val="00576DDE"/>
    <w:rsid w:val="00576F35"/>
    <w:rsid w:val="00576FCE"/>
    <w:rsid w:val="005770D0"/>
    <w:rsid w:val="0057713C"/>
    <w:rsid w:val="005778B7"/>
    <w:rsid w:val="0058006D"/>
    <w:rsid w:val="00580943"/>
    <w:rsid w:val="00581085"/>
    <w:rsid w:val="0058130B"/>
    <w:rsid w:val="00581617"/>
    <w:rsid w:val="0058163E"/>
    <w:rsid w:val="00581DF2"/>
    <w:rsid w:val="00581E7D"/>
    <w:rsid w:val="005825CF"/>
    <w:rsid w:val="00582C1A"/>
    <w:rsid w:val="00582CCF"/>
    <w:rsid w:val="00582D6C"/>
    <w:rsid w:val="00582F52"/>
    <w:rsid w:val="0058329F"/>
    <w:rsid w:val="005832A4"/>
    <w:rsid w:val="005836FE"/>
    <w:rsid w:val="00583C6E"/>
    <w:rsid w:val="00583DB7"/>
    <w:rsid w:val="00583FD9"/>
    <w:rsid w:val="005840CC"/>
    <w:rsid w:val="00584457"/>
    <w:rsid w:val="005844C6"/>
    <w:rsid w:val="005848B9"/>
    <w:rsid w:val="00584E07"/>
    <w:rsid w:val="00584EA4"/>
    <w:rsid w:val="00585109"/>
    <w:rsid w:val="00585626"/>
    <w:rsid w:val="00585EF1"/>
    <w:rsid w:val="00585FB6"/>
    <w:rsid w:val="00586365"/>
    <w:rsid w:val="0058636E"/>
    <w:rsid w:val="00586478"/>
    <w:rsid w:val="00586A40"/>
    <w:rsid w:val="00586B12"/>
    <w:rsid w:val="005870B9"/>
    <w:rsid w:val="005874DC"/>
    <w:rsid w:val="005876D8"/>
    <w:rsid w:val="005877E6"/>
    <w:rsid w:val="00587966"/>
    <w:rsid w:val="00587CE6"/>
    <w:rsid w:val="00590379"/>
    <w:rsid w:val="005903F3"/>
    <w:rsid w:val="005905ED"/>
    <w:rsid w:val="005906DB"/>
    <w:rsid w:val="00590777"/>
    <w:rsid w:val="005909D5"/>
    <w:rsid w:val="00590AA8"/>
    <w:rsid w:val="0059177A"/>
    <w:rsid w:val="005917BB"/>
    <w:rsid w:val="00591982"/>
    <w:rsid w:val="00591B67"/>
    <w:rsid w:val="00591C9C"/>
    <w:rsid w:val="00591E22"/>
    <w:rsid w:val="0059210C"/>
    <w:rsid w:val="00592EA1"/>
    <w:rsid w:val="0059312C"/>
    <w:rsid w:val="00593168"/>
    <w:rsid w:val="00593636"/>
    <w:rsid w:val="00593730"/>
    <w:rsid w:val="00593848"/>
    <w:rsid w:val="00593ADC"/>
    <w:rsid w:val="00593C86"/>
    <w:rsid w:val="00593E78"/>
    <w:rsid w:val="00593FFA"/>
    <w:rsid w:val="005940FD"/>
    <w:rsid w:val="005941E7"/>
    <w:rsid w:val="005944AE"/>
    <w:rsid w:val="00594830"/>
    <w:rsid w:val="005948B0"/>
    <w:rsid w:val="0059496F"/>
    <w:rsid w:val="00594A58"/>
    <w:rsid w:val="00594ACC"/>
    <w:rsid w:val="00594D75"/>
    <w:rsid w:val="00595024"/>
    <w:rsid w:val="00595094"/>
    <w:rsid w:val="00595592"/>
    <w:rsid w:val="00595B31"/>
    <w:rsid w:val="00595BD6"/>
    <w:rsid w:val="00595D2A"/>
    <w:rsid w:val="00595EFC"/>
    <w:rsid w:val="00596971"/>
    <w:rsid w:val="00596987"/>
    <w:rsid w:val="005970D0"/>
    <w:rsid w:val="0059738D"/>
    <w:rsid w:val="005974B0"/>
    <w:rsid w:val="005977B7"/>
    <w:rsid w:val="005977D8"/>
    <w:rsid w:val="005977DE"/>
    <w:rsid w:val="0059791C"/>
    <w:rsid w:val="0059794B"/>
    <w:rsid w:val="005979AC"/>
    <w:rsid w:val="005A0245"/>
    <w:rsid w:val="005A039E"/>
    <w:rsid w:val="005A03EB"/>
    <w:rsid w:val="005A0467"/>
    <w:rsid w:val="005A0528"/>
    <w:rsid w:val="005A05BC"/>
    <w:rsid w:val="005A05FB"/>
    <w:rsid w:val="005A12B6"/>
    <w:rsid w:val="005A196C"/>
    <w:rsid w:val="005A23AA"/>
    <w:rsid w:val="005A2455"/>
    <w:rsid w:val="005A2D1C"/>
    <w:rsid w:val="005A2F46"/>
    <w:rsid w:val="005A2F74"/>
    <w:rsid w:val="005A325F"/>
    <w:rsid w:val="005A3439"/>
    <w:rsid w:val="005A3562"/>
    <w:rsid w:val="005A399E"/>
    <w:rsid w:val="005A3A24"/>
    <w:rsid w:val="005A3FD1"/>
    <w:rsid w:val="005A4362"/>
    <w:rsid w:val="005A43BA"/>
    <w:rsid w:val="005A454D"/>
    <w:rsid w:val="005A4843"/>
    <w:rsid w:val="005A4A2C"/>
    <w:rsid w:val="005A4A6D"/>
    <w:rsid w:val="005A4AAA"/>
    <w:rsid w:val="005A4AAD"/>
    <w:rsid w:val="005A4B48"/>
    <w:rsid w:val="005A4F37"/>
    <w:rsid w:val="005A4FFB"/>
    <w:rsid w:val="005A5077"/>
    <w:rsid w:val="005A5079"/>
    <w:rsid w:val="005A5221"/>
    <w:rsid w:val="005A534E"/>
    <w:rsid w:val="005A5A86"/>
    <w:rsid w:val="005A6171"/>
    <w:rsid w:val="005A6181"/>
    <w:rsid w:val="005A61C2"/>
    <w:rsid w:val="005A6774"/>
    <w:rsid w:val="005A6ABA"/>
    <w:rsid w:val="005A6C02"/>
    <w:rsid w:val="005A70A5"/>
    <w:rsid w:val="005A71EB"/>
    <w:rsid w:val="005A7380"/>
    <w:rsid w:val="005A7671"/>
    <w:rsid w:val="005A7A2D"/>
    <w:rsid w:val="005A7EBC"/>
    <w:rsid w:val="005A7FA6"/>
    <w:rsid w:val="005B0246"/>
    <w:rsid w:val="005B0B84"/>
    <w:rsid w:val="005B10DA"/>
    <w:rsid w:val="005B12F7"/>
    <w:rsid w:val="005B14D8"/>
    <w:rsid w:val="005B150A"/>
    <w:rsid w:val="005B15A4"/>
    <w:rsid w:val="005B1605"/>
    <w:rsid w:val="005B195C"/>
    <w:rsid w:val="005B1D32"/>
    <w:rsid w:val="005B1FC4"/>
    <w:rsid w:val="005B1FC9"/>
    <w:rsid w:val="005B2222"/>
    <w:rsid w:val="005B22D4"/>
    <w:rsid w:val="005B24BD"/>
    <w:rsid w:val="005B251A"/>
    <w:rsid w:val="005B261C"/>
    <w:rsid w:val="005B26A8"/>
    <w:rsid w:val="005B29E2"/>
    <w:rsid w:val="005B2BFA"/>
    <w:rsid w:val="005B2C08"/>
    <w:rsid w:val="005B2DF6"/>
    <w:rsid w:val="005B31F7"/>
    <w:rsid w:val="005B3A0F"/>
    <w:rsid w:val="005B3D6B"/>
    <w:rsid w:val="005B3DD0"/>
    <w:rsid w:val="005B5053"/>
    <w:rsid w:val="005B5143"/>
    <w:rsid w:val="005B548D"/>
    <w:rsid w:val="005B5DA2"/>
    <w:rsid w:val="005B6208"/>
    <w:rsid w:val="005B6472"/>
    <w:rsid w:val="005B64B8"/>
    <w:rsid w:val="005B667D"/>
    <w:rsid w:val="005B70D5"/>
    <w:rsid w:val="005B721C"/>
    <w:rsid w:val="005B7485"/>
    <w:rsid w:val="005B75F8"/>
    <w:rsid w:val="005B77A0"/>
    <w:rsid w:val="005C021C"/>
    <w:rsid w:val="005C02DB"/>
    <w:rsid w:val="005C071F"/>
    <w:rsid w:val="005C0A80"/>
    <w:rsid w:val="005C112E"/>
    <w:rsid w:val="005C19DE"/>
    <w:rsid w:val="005C2564"/>
    <w:rsid w:val="005C27EF"/>
    <w:rsid w:val="005C2871"/>
    <w:rsid w:val="005C2B3C"/>
    <w:rsid w:val="005C3084"/>
    <w:rsid w:val="005C324B"/>
    <w:rsid w:val="005C34E2"/>
    <w:rsid w:val="005C3526"/>
    <w:rsid w:val="005C3ABA"/>
    <w:rsid w:val="005C3C3D"/>
    <w:rsid w:val="005C3F15"/>
    <w:rsid w:val="005C3F83"/>
    <w:rsid w:val="005C435E"/>
    <w:rsid w:val="005C4676"/>
    <w:rsid w:val="005C4738"/>
    <w:rsid w:val="005C4935"/>
    <w:rsid w:val="005C4A88"/>
    <w:rsid w:val="005C4F7A"/>
    <w:rsid w:val="005C5110"/>
    <w:rsid w:val="005C525B"/>
    <w:rsid w:val="005C54F6"/>
    <w:rsid w:val="005C56F6"/>
    <w:rsid w:val="005C5822"/>
    <w:rsid w:val="005C5DD3"/>
    <w:rsid w:val="005C6202"/>
    <w:rsid w:val="005C6809"/>
    <w:rsid w:val="005C6841"/>
    <w:rsid w:val="005C6A4D"/>
    <w:rsid w:val="005C6CE0"/>
    <w:rsid w:val="005C6F75"/>
    <w:rsid w:val="005C7222"/>
    <w:rsid w:val="005C74FA"/>
    <w:rsid w:val="005C7F6A"/>
    <w:rsid w:val="005D012E"/>
    <w:rsid w:val="005D0D6A"/>
    <w:rsid w:val="005D0D91"/>
    <w:rsid w:val="005D0E6C"/>
    <w:rsid w:val="005D19A3"/>
    <w:rsid w:val="005D19D6"/>
    <w:rsid w:val="005D1A71"/>
    <w:rsid w:val="005D1FAB"/>
    <w:rsid w:val="005D22DD"/>
    <w:rsid w:val="005D2499"/>
    <w:rsid w:val="005D2AC5"/>
    <w:rsid w:val="005D2C79"/>
    <w:rsid w:val="005D2D00"/>
    <w:rsid w:val="005D3227"/>
    <w:rsid w:val="005D3F44"/>
    <w:rsid w:val="005D425D"/>
    <w:rsid w:val="005D4AB7"/>
    <w:rsid w:val="005D56A5"/>
    <w:rsid w:val="005D5E24"/>
    <w:rsid w:val="005D5ED2"/>
    <w:rsid w:val="005D658A"/>
    <w:rsid w:val="005D68AA"/>
    <w:rsid w:val="005D6C31"/>
    <w:rsid w:val="005D6F3F"/>
    <w:rsid w:val="005D6FBF"/>
    <w:rsid w:val="005D71C2"/>
    <w:rsid w:val="005D75FC"/>
    <w:rsid w:val="005D761B"/>
    <w:rsid w:val="005D775A"/>
    <w:rsid w:val="005D7C63"/>
    <w:rsid w:val="005D7E3D"/>
    <w:rsid w:val="005E0385"/>
    <w:rsid w:val="005E0651"/>
    <w:rsid w:val="005E0A3C"/>
    <w:rsid w:val="005E0D29"/>
    <w:rsid w:val="005E1520"/>
    <w:rsid w:val="005E2009"/>
    <w:rsid w:val="005E2073"/>
    <w:rsid w:val="005E20E6"/>
    <w:rsid w:val="005E25D0"/>
    <w:rsid w:val="005E26E8"/>
    <w:rsid w:val="005E3293"/>
    <w:rsid w:val="005E341E"/>
    <w:rsid w:val="005E34AC"/>
    <w:rsid w:val="005E35CF"/>
    <w:rsid w:val="005E37F1"/>
    <w:rsid w:val="005E38E3"/>
    <w:rsid w:val="005E45CF"/>
    <w:rsid w:val="005E469A"/>
    <w:rsid w:val="005E49DA"/>
    <w:rsid w:val="005E4CC9"/>
    <w:rsid w:val="005E4E2C"/>
    <w:rsid w:val="005E5258"/>
    <w:rsid w:val="005E5320"/>
    <w:rsid w:val="005E5E01"/>
    <w:rsid w:val="005E5EAE"/>
    <w:rsid w:val="005E6394"/>
    <w:rsid w:val="005E6495"/>
    <w:rsid w:val="005E6947"/>
    <w:rsid w:val="005E6ACB"/>
    <w:rsid w:val="005E6C17"/>
    <w:rsid w:val="005E6EEE"/>
    <w:rsid w:val="005E702C"/>
    <w:rsid w:val="005E7317"/>
    <w:rsid w:val="005E781E"/>
    <w:rsid w:val="005F0013"/>
    <w:rsid w:val="005F008B"/>
    <w:rsid w:val="005F131E"/>
    <w:rsid w:val="005F1660"/>
    <w:rsid w:val="005F18F9"/>
    <w:rsid w:val="005F33B2"/>
    <w:rsid w:val="005F3A8B"/>
    <w:rsid w:val="005F3D36"/>
    <w:rsid w:val="005F4758"/>
    <w:rsid w:val="005F4C7C"/>
    <w:rsid w:val="005F5A4A"/>
    <w:rsid w:val="005F5C83"/>
    <w:rsid w:val="005F60D5"/>
    <w:rsid w:val="005F614F"/>
    <w:rsid w:val="005F65AD"/>
    <w:rsid w:val="005F67E7"/>
    <w:rsid w:val="005F6941"/>
    <w:rsid w:val="005F7843"/>
    <w:rsid w:val="005F7D4C"/>
    <w:rsid w:val="005F7D66"/>
    <w:rsid w:val="00600631"/>
    <w:rsid w:val="00600A33"/>
    <w:rsid w:val="00600C3D"/>
    <w:rsid w:val="00600E60"/>
    <w:rsid w:val="0060104C"/>
    <w:rsid w:val="006011F5"/>
    <w:rsid w:val="00601378"/>
    <w:rsid w:val="0060156F"/>
    <w:rsid w:val="00601796"/>
    <w:rsid w:val="00601923"/>
    <w:rsid w:val="00601A2C"/>
    <w:rsid w:val="00602258"/>
    <w:rsid w:val="00602753"/>
    <w:rsid w:val="00602B9E"/>
    <w:rsid w:val="00602C47"/>
    <w:rsid w:val="006030AB"/>
    <w:rsid w:val="00603332"/>
    <w:rsid w:val="006038F7"/>
    <w:rsid w:val="00603B2F"/>
    <w:rsid w:val="00604435"/>
    <w:rsid w:val="006045EB"/>
    <w:rsid w:val="00604E6E"/>
    <w:rsid w:val="006056D2"/>
    <w:rsid w:val="006056EE"/>
    <w:rsid w:val="006058DC"/>
    <w:rsid w:val="00605CF0"/>
    <w:rsid w:val="006067E2"/>
    <w:rsid w:val="00606935"/>
    <w:rsid w:val="006070F9"/>
    <w:rsid w:val="006075BF"/>
    <w:rsid w:val="00607642"/>
    <w:rsid w:val="0060770B"/>
    <w:rsid w:val="00607C16"/>
    <w:rsid w:val="00607C7F"/>
    <w:rsid w:val="00607D2B"/>
    <w:rsid w:val="00607FFC"/>
    <w:rsid w:val="00609EDB"/>
    <w:rsid w:val="006109CC"/>
    <w:rsid w:val="00610E4B"/>
    <w:rsid w:val="006111ED"/>
    <w:rsid w:val="006117EA"/>
    <w:rsid w:val="00611CCF"/>
    <w:rsid w:val="0061202A"/>
    <w:rsid w:val="00612109"/>
    <w:rsid w:val="00612182"/>
    <w:rsid w:val="006126E4"/>
    <w:rsid w:val="00612766"/>
    <w:rsid w:val="006128B8"/>
    <w:rsid w:val="00612F5E"/>
    <w:rsid w:val="00612FC6"/>
    <w:rsid w:val="00613570"/>
    <w:rsid w:val="00613900"/>
    <w:rsid w:val="00614864"/>
    <w:rsid w:val="006149B8"/>
    <w:rsid w:val="00615356"/>
    <w:rsid w:val="0061546A"/>
    <w:rsid w:val="006159B4"/>
    <w:rsid w:val="00615DC6"/>
    <w:rsid w:val="00615FD9"/>
    <w:rsid w:val="0061603F"/>
    <w:rsid w:val="0061608C"/>
    <w:rsid w:val="006164D6"/>
    <w:rsid w:val="006167B1"/>
    <w:rsid w:val="0061748B"/>
    <w:rsid w:val="006204A4"/>
    <w:rsid w:val="00620562"/>
    <w:rsid w:val="00620661"/>
    <w:rsid w:val="0062068B"/>
    <w:rsid w:val="00620C77"/>
    <w:rsid w:val="0062142C"/>
    <w:rsid w:val="00621A05"/>
    <w:rsid w:val="00621AA5"/>
    <w:rsid w:val="00621C64"/>
    <w:rsid w:val="00621C9B"/>
    <w:rsid w:val="00622322"/>
    <w:rsid w:val="006229D4"/>
    <w:rsid w:val="006229D6"/>
    <w:rsid w:val="00622DD5"/>
    <w:rsid w:val="00622F26"/>
    <w:rsid w:val="00623440"/>
    <w:rsid w:val="00623A57"/>
    <w:rsid w:val="00623D3E"/>
    <w:rsid w:val="00623D9A"/>
    <w:rsid w:val="00623E43"/>
    <w:rsid w:val="00623F1B"/>
    <w:rsid w:val="00623FD6"/>
    <w:rsid w:val="00624112"/>
    <w:rsid w:val="00624138"/>
    <w:rsid w:val="006241A6"/>
    <w:rsid w:val="006245A5"/>
    <w:rsid w:val="0062477B"/>
    <w:rsid w:val="00624C62"/>
    <w:rsid w:val="006255C4"/>
    <w:rsid w:val="0062564A"/>
    <w:rsid w:val="00625A91"/>
    <w:rsid w:val="00625A99"/>
    <w:rsid w:val="00625B40"/>
    <w:rsid w:val="00625EB3"/>
    <w:rsid w:val="0062649E"/>
    <w:rsid w:val="00626575"/>
    <w:rsid w:val="00626C13"/>
    <w:rsid w:val="00626E39"/>
    <w:rsid w:val="0062700A"/>
    <w:rsid w:val="00627186"/>
    <w:rsid w:val="006278F3"/>
    <w:rsid w:val="006303A4"/>
    <w:rsid w:val="00630559"/>
    <w:rsid w:val="00630AB5"/>
    <w:rsid w:val="00630BE4"/>
    <w:rsid w:val="00630C64"/>
    <w:rsid w:val="00630F15"/>
    <w:rsid w:val="00630F44"/>
    <w:rsid w:val="006313C1"/>
    <w:rsid w:val="006315F1"/>
    <w:rsid w:val="006317C1"/>
    <w:rsid w:val="00631A21"/>
    <w:rsid w:val="0063230E"/>
    <w:rsid w:val="006323D7"/>
    <w:rsid w:val="0063254D"/>
    <w:rsid w:val="00632602"/>
    <w:rsid w:val="0063273C"/>
    <w:rsid w:val="006329D1"/>
    <w:rsid w:val="00632BDF"/>
    <w:rsid w:val="00632C57"/>
    <w:rsid w:val="00632D95"/>
    <w:rsid w:val="00632DA5"/>
    <w:rsid w:val="00632DD9"/>
    <w:rsid w:val="0063347A"/>
    <w:rsid w:val="0063375F"/>
    <w:rsid w:val="00633904"/>
    <w:rsid w:val="00633ABA"/>
    <w:rsid w:val="00633ADF"/>
    <w:rsid w:val="00633AE2"/>
    <w:rsid w:val="00633C92"/>
    <w:rsid w:val="00634C9B"/>
    <w:rsid w:val="00635360"/>
    <w:rsid w:val="0063560B"/>
    <w:rsid w:val="00635698"/>
    <w:rsid w:val="00635A89"/>
    <w:rsid w:val="00635E5A"/>
    <w:rsid w:val="00635ECC"/>
    <w:rsid w:val="0063685F"/>
    <w:rsid w:val="00636B92"/>
    <w:rsid w:val="006374E3"/>
    <w:rsid w:val="0063777D"/>
    <w:rsid w:val="00637C39"/>
    <w:rsid w:val="00637EAB"/>
    <w:rsid w:val="00637F1E"/>
    <w:rsid w:val="00640060"/>
    <w:rsid w:val="006405A6"/>
    <w:rsid w:val="00641236"/>
    <w:rsid w:val="00641415"/>
    <w:rsid w:val="006414D6"/>
    <w:rsid w:val="006415C7"/>
    <w:rsid w:val="00641CAD"/>
    <w:rsid w:val="0064216A"/>
    <w:rsid w:val="006428A6"/>
    <w:rsid w:val="006428A7"/>
    <w:rsid w:val="00642EAF"/>
    <w:rsid w:val="00642F77"/>
    <w:rsid w:val="006431F3"/>
    <w:rsid w:val="00643653"/>
    <w:rsid w:val="00643742"/>
    <w:rsid w:val="00643A82"/>
    <w:rsid w:val="00643DB6"/>
    <w:rsid w:val="0064402A"/>
    <w:rsid w:val="0064419D"/>
    <w:rsid w:val="00644229"/>
    <w:rsid w:val="00644797"/>
    <w:rsid w:val="00644A15"/>
    <w:rsid w:val="00644C24"/>
    <w:rsid w:val="0064544E"/>
    <w:rsid w:val="006456A7"/>
    <w:rsid w:val="006457D7"/>
    <w:rsid w:val="00645CF2"/>
    <w:rsid w:val="00646AEE"/>
    <w:rsid w:val="00646B7A"/>
    <w:rsid w:val="00646C7E"/>
    <w:rsid w:val="006472B1"/>
    <w:rsid w:val="00647AC9"/>
    <w:rsid w:val="006497C3"/>
    <w:rsid w:val="00650300"/>
    <w:rsid w:val="0065085C"/>
    <w:rsid w:val="00650B50"/>
    <w:rsid w:val="00650DDA"/>
    <w:rsid w:val="00650F26"/>
    <w:rsid w:val="006511BA"/>
    <w:rsid w:val="00651D28"/>
    <w:rsid w:val="00652260"/>
    <w:rsid w:val="006525D0"/>
    <w:rsid w:val="006526DF"/>
    <w:rsid w:val="00652D17"/>
    <w:rsid w:val="00652D66"/>
    <w:rsid w:val="00652EC3"/>
    <w:rsid w:val="0065331A"/>
    <w:rsid w:val="0065342E"/>
    <w:rsid w:val="006535FD"/>
    <w:rsid w:val="006537D1"/>
    <w:rsid w:val="00654EC8"/>
    <w:rsid w:val="0065533F"/>
    <w:rsid w:val="00655820"/>
    <w:rsid w:val="0065584D"/>
    <w:rsid w:val="00655A82"/>
    <w:rsid w:val="00655C63"/>
    <w:rsid w:val="00655DFE"/>
    <w:rsid w:val="006560A6"/>
    <w:rsid w:val="006561F1"/>
    <w:rsid w:val="0065654B"/>
    <w:rsid w:val="006565DC"/>
    <w:rsid w:val="00656ADB"/>
    <w:rsid w:val="00656BA0"/>
    <w:rsid w:val="0065759A"/>
    <w:rsid w:val="00657E2C"/>
    <w:rsid w:val="00660058"/>
    <w:rsid w:val="00660177"/>
    <w:rsid w:val="006602B4"/>
    <w:rsid w:val="0066039E"/>
    <w:rsid w:val="006604C1"/>
    <w:rsid w:val="006607EF"/>
    <w:rsid w:val="006607FF"/>
    <w:rsid w:val="00660D37"/>
    <w:rsid w:val="00660E7E"/>
    <w:rsid w:val="00661304"/>
    <w:rsid w:val="006614BF"/>
    <w:rsid w:val="006615A1"/>
    <w:rsid w:val="00661B3C"/>
    <w:rsid w:val="00661FFE"/>
    <w:rsid w:val="00662120"/>
    <w:rsid w:val="006624BC"/>
    <w:rsid w:val="00662D3D"/>
    <w:rsid w:val="00662EFA"/>
    <w:rsid w:val="0066334D"/>
    <w:rsid w:val="0066372C"/>
    <w:rsid w:val="00663864"/>
    <w:rsid w:val="00663C9A"/>
    <w:rsid w:val="0066424A"/>
    <w:rsid w:val="00664860"/>
    <w:rsid w:val="00664980"/>
    <w:rsid w:val="00664A75"/>
    <w:rsid w:val="00664B03"/>
    <w:rsid w:val="00664B43"/>
    <w:rsid w:val="00664BBB"/>
    <w:rsid w:val="00664BC7"/>
    <w:rsid w:val="00665325"/>
    <w:rsid w:val="0066590C"/>
    <w:rsid w:val="00665E85"/>
    <w:rsid w:val="00666415"/>
    <w:rsid w:val="006667AC"/>
    <w:rsid w:val="00666869"/>
    <w:rsid w:val="00666EB6"/>
    <w:rsid w:val="006676CE"/>
    <w:rsid w:val="00667A66"/>
    <w:rsid w:val="00667B37"/>
    <w:rsid w:val="00667CFA"/>
    <w:rsid w:val="00667EFC"/>
    <w:rsid w:val="00667FA0"/>
    <w:rsid w:val="00670B36"/>
    <w:rsid w:val="00670B97"/>
    <w:rsid w:val="00671025"/>
    <w:rsid w:val="006711A6"/>
    <w:rsid w:val="006711E5"/>
    <w:rsid w:val="006713D8"/>
    <w:rsid w:val="0067151C"/>
    <w:rsid w:val="00671582"/>
    <w:rsid w:val="006715A3"/>
    <w:rsid w:val="00671692"/>
    <w:rsid w:val="00671812"/>
    <w:rsid w:val="0067196A"/>
    <w:rsid w:val="00671ACB"/>
    <w:rsid w:val="00671D52"/>
    <w:rsid w:val="00672281"/>
    <w:rsid w:val="006723DB"/>
    <w:rsid w:val="006725D6"/>
    <w:rsid w:val="0067269B"/>
    <w:rsid w:val="006727E5"/>
    <w:rsid w:val="00672844"/>
    <w:rsid w:val="006729B3"/>
    <w:rsid w:val="00673328"/>
    <w:rsid w:val="0067368C"/>
    <w:rsid w:val="0067408A"/>
    <w:rsid w:val="006741FD"/>
    <w:rsid w:val="00674D76"/>
    <w:rsid w:val="0067513C"/>
    <w:rsid w:val="0067552A"/>
    <w:rsid w:val="00675727"/>
    <w:rsid w:val="00675A5C"/>
    <w:rsid w:val="006762C6"/>
    <w:rsid w:val="006765F9"/>
    <w:rsid w:val="0067677E"/>
    <w:rsid w:val="006768A6"/>
    <w:rsid w:val="00676B24"/>
    <w:rsid w:val="00677450"/>
    <w:rsid w:val="00677795"/>
    <w:rsid w:val="00677A91"/>
    <w:rsid w:val="00677B87"/>
    <w:rsid w:val="006801D0"/>
    <w:rsid w:val="006802CA"/>
    <w:rsid w:val="0068052E"/>
    <w:rsid w:val="00680B9F"/>
    <w:rsid w:val="00680D0D"/>
    <w:rsid w:val="00681166"/>
    <w:rsid w:val="006811A4"/>
    <w:rsid w:val="00681342"/>
    <w:rsid w:val="006814C6"/>
    <w:rsid w:val="00681624"/>
    <w:rsid w:val="0068203C"/>
    <w:rsid w:val="0068215E"/>
    <w:rsid w:val="0068244E"/>
    <w:rsid w:val="006825A7"/>
    <w:rsid w:val="00682AB2"/>
    <w:rsid w:val="00682EAB"/>
    <w:rsid w:val="00682EB6"/>
    <w:rsid w:val="00682EDC"/>
    <w:rsid w:val="00682F9A"/>
    <w:rsid w:val="00683250"/>
    <w:rsid w:val="006832D6"/>
    <w:rsid w:val="00683300"/>
    <w:rsid w:val="0068349A"/>
    <w:rsid w:val="006834BC"/>
    <w:rsid w:val="00683872"/>
    <w:rsid w:val="006849FB"/>
    <w:rsid w:val="00685106"/>
    <w:rsid w:val="00685365"/>
    <w:rsid w:val="00685822"/>
    <w:rsid w:val="00685F7A"/>
    <w:rsid w:val="0068614F"/>
    <w:rsid w:val="0068646E"/>
    <w:rsid w:val="006867E0"/>
    <w:rsid w:val="00686DFC"/>
    <w:rsid w:val="0068726A"/>
    <w:rsid w:val="00687483"/>
    <w:rsid w:val="00687746"/>
    <w:rsid w:val="00690062"/>
    <w:rsid w:val="00690308"/>
    <w:rsid w:val="00690374"/>
    <w:rsid w:val="006904D5"/>
    <w:rsid w:val="00690647"/>
    <w:rsid w:val="006907F8"/>
    <w:rsid w:val="00690822"/>
    <w:rsid w:val="00690BCA"/>
    <w:rsid w:val="0069110A"/>
    <w:rsid w:val="0069141E"/>
    <w:rsid w:val="00691751"/>
    <w:rsid w:val="00691E01"/>
    <w:rsid w:val="00691FAC"/>
    <w:rsid w:val="0069293C"/>
    <w:rsid w:val="006929F4"/>
    <w:rsid w:val="00692F1B"/>
    <w:rsid w:val="006931AB"/>
    <w:rsid w:val="006931E8"/>
    <w:rsid w:val="00693D16"/>
    <w:rsid w:val="00693D71"/>
    <w:rsid w:val="0069455A"/>
    <w:rsid w:val="006945A8"/>
    <w:rsid w:val="00694676"/>
    <w:rsid w:val="0069482F"/>
    <w:rsid w:val="006948A3"/>
    <w:rsid w:val="00694957"/>
    <w:rsid w:val="00694D0F"/>
    <w:rsid w:val="00694D6B"/>
    <w:rsid w:val="006955CF"/>
    <w:rsid w:val="0069589C"/>
    <w:rsid w:val="00695BFC"/>
    <w:rsid w:val="00695E9F"/>
    <w:rsid w:val="00695F42"/>
    <w:rsid w:val="00695F44"/>
    <w:rsid w:val="00696A6C"/>
    <w:rsid w:val="00696F1F"/>
    <w:rsid w:val="0069723D"/>
    <w:rsid w:val="00697923"/>
    <w:rsid w:val="00697A77"/>
    <w:rsid w:val="00697ACE"/>
    <w:rsid w:val="00697C95"/>
    <w:rsid w:val="00697F57"/>
    <w:rsid w:val="006A0000"/>
    <w:rsid w:val="006A00B1"/>
    <w:rsid w:val="006A01F4"/>
    <w:rsid w:val="006A08C8"/>
    <w:rsid w:val="006A08E8"/>
    <w:rsid w:val="006A097B"/>
    <w:rsid w:val="006A131F"/>
    <w:rsid w:val="006A1435"/>
    <w:rsid w:val="006A14D9"/>
    <w:rsid w:val="006A1645"/>
    <w:rsid w:val="006A1D28"/>
    <w:rsid w:val="006A1D4A"/>
    <w:rsid w:val="006A1DDC"/>
    <w:rsid w:val="006A25CC"/>
    <w:rsid w:val="006A2625"/>
    <w:rsid w:val="006A27EF"/>
    <w:rsid w:val="006A3186"/>
    <w:rsid w:val="006A3D29"/>
    <w:rsid w:val="006A405E"/>
    <w:rsid w:val="006A43F3"/>
    <w:rsid w:val="006A4797"/>
    <w:rsid w:val="006A5227"/>
    <w:rsid w:val="006A54B1"/>
    <w:rsid w:val="006A5615"/>
    <w:rsid w:val="006A5F29"/>
    <w:rsid w:val="006A5F79"/>
    <w:rsid w:val="006A6349"/>
    <w:rsid w:val="006A63A8"/>
    <w:rsid w:val="006A64B3"/>
    <w:rsid w:val="006A681E"/>
    <w:rsid w:val="006A69BB"/>
    <w:rsid w:val="006A6A64"/>
    <w:rsid w:val="006A6FEF"/>
    <w:rsid w:val="006A73C9"/>
    <w:rsid w:val="006A73E3"/>
    <w:rsid w:val="006A7705"/>
    <w:rsid w:val="006A7F65"/>
    <w:rsid w:val="006B0075"/>
    <w:rsid w:val="006B0936"/>
    <w:rsid w:val="006B095F"/>
    <w:rsid w:val="006B0E6E"/>
    <w:rsid w:val="006B162D"/>
    <w:rsid w:val="006B1654"/>
    <w:rsid w:val="006B239C"/>
    <w:rsid w:val="006B23BF"/>
    <w:rsid w:val="006B246D"/>
    <w:rsid w:val="006B294B"/>
    <w:rsid w:val="006B2FC9"/>
    <w:rsid w:val="006B3042"/>
    <w:rsid w:val="006B30F1"/>
    <w:rsid w:val="006B3134"/>
    <w:rsid w:val="006B3291"/>
    <w:rsid w:val="006B3354"/>
    <w:rsid w:val="006B342C"/>
    <w:rsid w:val="006B3B3F"/>
    <w:rsid w:val="006B3C15"/>
    <w:rsid w:val="006B475E"/>
    <w:rsid w:val="006B48B4"/>
    <w:rsid w:val="006B492B"/>
    <w:rsid w:val="006B4943"/>
    <w:rsid w:val="006B4A45"/>
    <w:rsid w:val="006B4ABA"/>
    <w:rsid w:val="006B4C56"/>
    <w:rsid w:val="006B4F8D"/>
    <w:rsid w:val="006B5094"/>
    <w:rsid w:val="006B513A"/>
    <w:rsid w:val="006B53F4"/>
    <w:rsid w:val="006B583C"/>
    <w:rsid w:val="006B593A"/>
    <w:rsid w:val="006B5A77"/>
    <w:rsid w:val="006B5C72"/>
    <w:rsid w:val="006B5CAA"/>
    <w:rsid w:val="006B5D7C"/>
    <w:rsid w:val="006B5EAC"/>
    <w:rsid w:val="006B5EC5"/>
    <w:rsid w:val="006B5FD5"/>
    <w:rsid w:val="006B616A"/>
    <w:rsid w:val="006B63A7"/>
    <w:rsid w:val="006B67F9"/>
    <w:rsid w:val="006B683C"/>
    <w:rsid w:val="006B6AAB"/>
    <w:rsid w:val="006B6BA1"/>
    <w:rsid w:val="006B7282"/>
    <w:rsid w:val="006B7368"/>
    <w:rsid w:val="006B7411"/>
    <w:rsid w:val="006B7536"/>
    <w:rsid w:val="006B7663"/>
    <w:rsid w:val="006C049A"/>
    <w:rsid w:val="006C0546"/>
    <w:rsid w:val="006C073A"/>
    <w:rsid w:val="006C0811"/>
    <w:rsid w:val="006C0C6A"/>
    <w:rsid w:val="006C1071"/>
    <w:rsid w:val="006C1A2F"/>
    <w:rsid w:val="006C1BC1"/>
    <w:rsid w:val="006C2584"/>
    <w:rsid w:val="006C2AE9"/>
    <w:rsid w:val="006C2E7E"/>
    <w:rsid w:val="006C317E"/>
    <w:rsid w:val="006C34C1"/>
    <w:rsid w:val="006C35AF"/>
    <w:rsid w:val="006C3927"/>
    <w:rsid w:val="006C43C0"/>
    <w:rsid w:val="006C44A5"/>
    <w:rsid w:val="006C4642"/>
    <w:rsid w:val="006C480E"/>
    <w:rsid w:val="006C4A65"/>
    <w:rsid w:val="006C4EF5"/>
    <w:rsid w:val="006C4F47"/>
    <w:rsid w:val="006C50F8"/>
    <w:rsid w:val="006C5150"/>
    <w:rsid w:val="006C51B6"/>
    <w:rsid w:val="006C5206"/>
    <w:rsid w:val="006C5467"/>
    <w:rsid w:val="006C5517"/>
    <w:rsid w:val="006C5E70"/>
    <w:rsid w:val="006C60AB"/>
    <w:rsid w:val="006C6856"/>
    <w:rsid w:val="006C6998"/>
    <w:rsid w:val="006C6C44"/>
    <w:rsid w:val="006C6FC6"/>
    <w:rsid w:val="006C7057"/>
    <w:rsid w:val="006C71BF"/>
    <w:rsid w:val="006C76DF"/>
    <w:rsid w:val="006C780F"/>
    <w:rsid w:val="006C78E2"/>
    <w:rsid w:val="006D01EA"/>
    <w:rsid w:val="006D04AC"/>
    <w:rsid w:val="006D0B5A"/>
    <w:rsid w:val="006D0FD0"/>
    <w:rsid w:val="006D115F"/>
    <w:rsid w:val="006D143C"/>
    <w:rsid w:val="006D163E"/>
    <w:rsid w:val="006D1670"/>
    <w:rsid w:val="006D1AB8"/>
    <w:rsid w:val="006D1EA4"/>
    <w:rsid w:val="006D216C"/>
    <w:rsid w:val="006D21D1"/>
    <w:rsid w:val="006D22A4"/>
    <w:rsid w:val="006D22B2"/>
    <w:rsid w:val="006D2436"/>
    <w:rsid w:val="006D2570"/>
    <w:rsid w:val="006D271E"/>
    <w:rsid w:val="006D2895"/>
    <w:rsid w:val="006D28EF"/>
    <w:rsid w:val="006D326B"/>
    <w:rsid w:val="006D3581"/>
    <w:rsid w:val="006D35A1"/>
    <w:rsid w:val="006D380E"/>
    <w:rsid w:val="006D3AE2"/>
    <w:rsid w:val="006D44EF"/>
    <w:rsid w:val="006D45AF"/>
    <w:rsid w:val="006D45BE"/>
    <w:rsid w:val="006D46FE"/>
    <w:rsid w:val="006D4B8B"/>
    <w:rsid w:val="006D51D7"/>
    <w:rsid w:val="006D542D"/>
    <w:rsid w:val="006D5490"/>
    <w:rsid w:val="006D5EBE"/>
    <w:rsid w:val="006D61E6"/>
    <w:rsid w:val="006D6692"/>
    <w:rsid w:val="006D6B1E"/>
    <w:rsid w:val="006D7D2A"/>
    <w:rsid w:val="006D7F4E"/>
    <w:rsid w:val="006E0219"/>
    <w:rsid w:val="006E0442"/>
    <w:rsid w:val="006E058F"/>
    <w:rsid w:val="006E0913"/>
    <w:rsid w:val="006E0B54"/>
    <w:rsid w:val="006E0CB5"/>
    <w:rsid w:val="006E0F2D"/>
    <w:rsid w:val="006E1995"/>
    <w:rsid w:val="006E1AA8"/>
    <w:rsid w:val="006E22A4"/>
    <w:rsid w:val="006E2429"/>
    <w:rsid w:val="006E2534"/>
    <w:rsid w:val="006E2B16"/>
    <w:rsid w:val="006E2D67"/>
    <w:rsid w:val="006E3013"/>
    <w:rsid w:val="006E3777"/>
    <w:rsid w:val="006E37A0"/>
    <w:rsid w:val="006E38B9"/>
    <w:rsid w:val="006E3B76"/>
    <w:rsid w:val="006E3D96"/>
    <w:rsid w:val="006E40B3"/>
    <w:rsid w:val="006E4B55"/>
    <w:rsid w:val="006E4DF3"/>
    <w:rsid w:val="006E5792"/>
    <w:rsid w:val="006E59C7"/>
    <w:rsid w:val="006E5B18"/>
    <w:rsid w:val="006E5E9C"/>
    <w:rsid w:val="006E64C5"/>
    <w:rsid w:val="006E671D"/>
    <w:rsid w:val="006E6879"/>
    <w:rsid w:val="006E6A83"/>
    <w:rsid w:val="006E6FCF"/>
    <w:rsid w:val="006E73BD"/>
    <w:rsid w:val="006E73F9"/>
    <w:rsid w:val="006E7684"/>
    <w:rsid w:val="006F0276"/>
    <w:rsid w:val="006F09E2"/>
    <w:rsid w:val="006F0DE8"/>
    <w:rsid w:val="006F1274"/>
    <w:rsid w:val="006F2047"/>
    <w:rsid w:val="006F29F2"/>
    <w:rsid w:val="006F2A78"/>
    <w:rsid w:val="006F2B45"/>
    <w:rsid w:val="006F2C4F"/>
    <w:rsid w:val="006F2C6E"/>
    <w:rsid w:val="006F2E5A"/>
    <w:rsid w:val="006F2F75"/>
    <w:rsid w:val="006F37AF"/>
    <w:rsid w:val="006F3D09"/>
    <w:rsid w:val="006F3FD8"/>
    <w:rsid w:val="006F4408"/>
    <w:rsid w:val="006F4656"/>
    <w:rsid w:val="006F4B8B"/>
    <w:rsid w:val="006F4C69"/>
    <w:rsid w:val="006F4FCF"/>
    <w:rsid w:val="006F5576"/>
    <w:rsid w:val="006F5927"/>
    <w:rsid w:val="006F59D1"/>
    <w:rsid w:val="006F5B24"/>
    <w:rsid w:val="006F5BD0"/>
    <w:rsid w:val="006F5EF4"/>
    <w:rsid w:val="006F6950"/>
    <w:rsid w:val="006F6F91"/>
    <w:rsid w:val="006F71E5"/>
    <w:rsid w:val="006F73CE"/>
    <w:rsid w:val="006F7516"/>
    <w:rsid w:val="006F75AB"/>
    <w:rsid w:val="006F7E16"/>
    <w:rsid w:val="006F7E40"/>
    <w:rsid w:val="006F7EC1"/>
    <w:rsid w:val="00700212"/>
    <w:rsid w:val="007009BA"/>
    <w:rsid w:val="00700AD8"/>
    <w:rsid w:val="00700B0D"/>
    <w:rsid w:val="00700CE0"/>
    <w:rsid w:val="00700F0A"/>
    <w:rsid w:val="007013D7"/>
    <w:rsid w:val="00701B18"/>
    <w:rsid w:val="00702511"/>
    <w:rsid w:val="007025F0"/>
    <w:rsid w:val="0070291E"/>
    <w:rsid w:val="00702CC1"/>
    <w:rsid w:val="007038A6"/>
    <w:rsid w:val="0070398E"/>
    <w:rsid w:val="00703A2A"/>
    <w:rsid w:val="00703BA0"/>
    <w:rsid w:val="00703BB0"/>
    <w:rsid w:val="00703FA2"/>
    <w:rsid w:val="007041D8"/>
    <w:rsid w:val="00704751"/>
    <w:rsid w:val="00704A4A"/>
    <w:rsid w:val="0070525B"/>
    <w:rsid w:val="007052C9"/>
    <w:rsid w:val="00705507"/>
    <w:rsid w:val="0070559A"/>
    <w:rsid w:val="007056E8"/>
    <w:rsid w:val="007056ED"/>
    <w:rsid w:val="00705BD8"/>
    <w:rsid w:val="007060DE"/>
    <w:rsid w:val="007061C5"/>
    <w:rsid w:val="0070658B"/>
    <w:rsid w:val="00706632"/>
    <w:rsid w:val="0070667B"/>
    <w:rsid w:val="00706B4F"/>
    <w:rsid w:val="00706BFC"/>
    <w:rsid w:val="00706C61"/>
    <w:rsid w:val="00706D49"/>
    <w:rsid w:val="00706F17"/>
    <w:rsid w:val="0070726E"/>
    <w:rsid w:val="00707308"/>
    <w:rsid w:val="00707372"/>
    <w:rsid w:val="007073F8"/>
    <w:rsid w:val="00710037"/>
    <w:rsid w:val="007106E4"/>
    <w:rsid w:val="007107F8"/>
    <w:rsid w:val="00710996"/>
    <w:rsid w:val="00710ADA"/>
    <w:rsid w:val="00710E3E"/>
    <w:rsid w:val="0071137B"/>
    <w:rsid w:val="00711773"/>
    <w:rsid w:val="00711AD7"/>
    <w:rsid w:val="00711C64"/>
    <w:rsid w:val="00711D28"/>
    <w:rsid w:val="00711F1B"/>
    <w:rsid w:val="0071213E"/>
    <w:rsid w:val="007124A7"/>
    <w:rsid w:val="0071270C"/>
    <w:rsid w:val="00712780"/>
    <w:rsid w:val="007133F1"/>
    <w:rsid w:val="0071355E"/>
    <w:rsid w:val="007135E6"/>
    <w:rsid w:val="00713ED7"/>
    <w:rsid w:val="0071442D"/>
    <w:rsid w:val="0071449C"/>
    <w:rsid w:val="0071525C"/>
    <w:rsid w:val="007152AD"/>
    <w:rsid w:val="007161B1"/>
    <w:rsid w:val="007168AE"/>
    <w:rsid w:val="00716FDB"/>
    <w:rsid w:val="0071709D"/>
    <w:rsid w:val="0071747B"/>
    <w:rsid w:val="007176CF"/>
    <w:rsid w:val="00717818"/>
    <w:rsid w:val="00717F15"/>
    <w:rsid w:val="007200FD"/>
    <w:rsid w:val="0072015A"/>
    <w:rsid w:val="007204DF"/>
    <w:rsid w:val="00720510"/>
    <w:rsid w:val="00720BFD"/>
    <w:rsid w:val="00720FD9"/>
    <w:rsid w:val="0072195C"/>
    <w:rsid w:val="00721B7B"/>
    <w:rsid w:val="00721F08"/>
    <w:rsid w:val="00721F37"/>
    <w:rsid w:val="007220FB"/>
    <w:rsid w:val="007225F9"/>
    <w:rsid w:val="00722C5B"/>
    <w:rsid w:val="00722E8E"/>
    <w:rsid w:val="00722F59"/>
    <w:rsid w:val="007230C8"/>
    <w:rsid w:val="0072318A"/>
    <w:rsid w:val="007233E6"/>
    <w:rsid w:val="0072345C"/>
    <w:rsid w:val="00723918"/>
    <w:rsid w:val="00723A4C"/>
    <w:rsid w:val="0072400A"/>
    <w:rsid w:val="0072414F"/>
    <w:rsid w:val="007241EF"/>
    <w:rsid w:val="007241F1"/>
    <w:rsid w:val="00724461"/>
    <w:rsid w:val="007244E4"/>
    <w:rsid w:val="00724A32"/>
    <w:rsid w:val="00725251"/>
    <w:rsid w:val="0072543E"/>
    <w:rsid w:val="007254FA"/>
    <w:rsid w:val="007255FF"/>
    <w:rsid w:val="0072577E"/>
    <w:rsid w:val="00725D1E"/>
    <w:rsid w:val="0072606E"/>
    <w:rsid w:val="0072625E"/>
    <w:rsid w:val="007264D8"/>
    <w:rsid w:val="00726AFF"/>
    <w:rsid w:val="00726F7B"/>
    <w:rsid w:val="00726F93"/>
    <w:rsid w:val="007272A5"/>
    <w:rsid w:val="00727417"/>
    <w:rsid w:val="00727430"/>
    <w:rsid w:val="00727471"/>
    <w:rsid w:val="007277F8"/>
    <w:rsid w:val="00727D82"/>
    <w:rsid w:val="00727E29"/>
    <w:rsid w:val="0073019E"/>
    <w:rsid w:val="00730229"/>
    <w:rsid w:val="007304DF"/>
    <w:rsid w:val="00730611"/>
    <w:rsid w:val="007309F5"/>
    <w:rsid w:val="0073101D"/>
    <w:rsid w:val="0073190D"/>
    <w:rsid w:val="00731FF0"/>
    <w:rsid w:val="0073243D"/>
    <w:rsid w:val="00732611"/>
    <w:rsid w:val="00732875"/>
    <w:rsid w:val="0073289B"/>
    <w:rsid w:val="007328A2"/>
    <w:rsid w:val="007329F2"/>
    <w:rsid w:val="00732C8C"/>
    <w:rsid w:val="00732EB4"/>
    <w:rsid w:val="007333BF"/>
    <w:rsid w:val="00733959"/>
    <w:rsid w:val="00733993"/>
    <w:rsid w:val="00733EC6"/>
    <w:rsid w:val="007343BC"/>
    <w:rsid w:val="00734B4D"/>
    <w:rsid w:val="00734D0A"/>
    <w:rsid w:val="00734D73"/>
    <w:rsid w:val="0073590A"/>
    <w:rsid w:val="00735F4F"/>
    <w:rsid w:val="007360BC"/>
    <w:rsid w:val="00736CE6"/>
    <w:rsid w:val="00736D38"/>
    <w:rsid w:val="00736ED4"/>
    <w:rsid w:val="0073704D"/>
    <w:rsid w:val="00737063"/>
    <w:rsid w:val="00737145"/>
    <w:rsid w:val="0073721A"/>
    <w:rsid w:val="007379EC"/>
    <w:rsid w:val="00737DF4"/>
    <w:rsid w:val="00740204"/>
    <w:rsid w:val="0074048B"/>
    <w:rsid w:val="00740CC1"/>
    <w:rsid w:val="00740EC1"/>
    <w:rsid w:val="00740EED"/>
    <w:rsid w:val="00740F85"/>
    <w:rsid w:val="007410A7"/>
    <w:rsid w:val="0074127C"/>
    <w:rsid w:val="00741369"/>
    <w:rsid w:val="00741562"/>
    <w:rsid w:val="007418E2"/>
    <w:rsid w:val="00741F60"/>
    <w:rsid w:val="00742173"/>
    <w:rsid w:val="00742315"/>
    <w:rsid w:val="00742347"/>
    <w:rsid w:val="00742474"/>
    <w:rsid w:val="00742566"/>
    <w:rsid w:val="00742BCA"/>
    <w:rsid w:val="00742CF6"/>
    <w:rsid w:val="00742D68"/>
    <w:rsid w:val="00742EE4"/>
    <w:rsid w:val="00742F38"/>
    <w:rsid w:val="00742FCF"/>
    <w:rsid w:val="007434B4"/>
    <w:rsid w:val="0074351A"/>
    <w:rsid w:val="0074377C"/>
    <w:rsid w:val="00743911"/>
    <w:rsid w:val="00743F4E"/>
    <w:rsid w:val="00744CF5"/>
    <w:rsid w:val="00745740"/>
    <w:rsid w:val="007458F5"/>
    <w:rsid w:val="0074590C"/>
    <w:rsid w:val="00745985"/>
    <w:rsid w:val="00745C13"/>
    <w:rsid w:val="00745F69"/>
    <w:rsid w:val="007463AC"/>
    <w:rsid w:val="00746544"/>
    <w:rsid w:val="007466B2"/>
    <w:rsid w:val="00746BF4"/>
    <w:rsid w:val="00746C45"/>
    <w:rsid w:val="00746EB4"/>
    <w:rsid w:val="0074707F"/>
    <w:rsid w:val="007472DD"/>
    <w:rsid w:val="007475AF"/>
    <w:rsid w:val="00747B1D"/>
    <w:rsid w:val="00747F85"/>
    <w:rsid w:val="0075016C"/>
    <w:rsid w:val="00750949"/>
    <w:rsid w:val="00750D90"/>
    <w:rsid w:val="00750E24"/>
    <w:rsid w:val="00750E35"/>
    <w:rsid w:val="007510AE"/>
    <w:rsid w:val="0075136E"/>
    <w:rsid w:val="007515BD"/>
    <w:rsid w:val="007515DF"/>
    <w:rsid w:val="007517F4"/>
    <w:rsid w:val="00751970"/>
    <w:rsid w:val="00751DA2"/>
    <w:rsid w:val="00751DE7"/>
    <w:rsid w:val="007522F6"/>
    <w:rsid w:val="007524B7"/>
    <w:rsid w:val="007524FD"/>
    <w:rsid w:val="007529C0"/>
    <w:rsid w:val="00752BFE"/>
    <w:rsid w:val="00752D25"/>
    <w:rsid w:val="00752F64"/>
    <w:rsid w:val="0075336D"/>
    <w:rsid w:val="00753410"/>
    <w:rsid w:val="00753679"/>
    <w:rsid w:val="00753AAA"/>
    <w:rsid w:val="00753BC4"/>
    <w:rsid w:val="00754035"/>
    <w:rsid w:val="007545F6"/>
    <w:rsid w:val="00754F76"/>
    <w:rsid w:val="007550C8"/>
    <w:rsid w:val="007550D2"/>
    <w:rsid w:val="00755346"/>
    <w:rsid w:val="0075568E"/>
    <w:rsid w:val="00755A60"/>
    <w:rsid w:val="00755A8C"/>
    <w:rsid w:val="0075602B"/>
    <w:rsid w:val="00756454"/>
    <w:rsid w:val="00756611"/>
    <w:rsid w:val="00756874"/>
    <w:rsid w:val="007569D8"/>
    <w:rsid w:val="00756B2C"/>
    <w:rsid w:val="00756D7C"/>
    <w:rsid w:val="00757165"/>
    <w:rsid w:val="00757182"/>
    <w:rsid w:val="007571FD"/>
    <w:rsid w:val="0075751D"/>
    <w:rsid w:val="00757AE6"/>
    <w:rsid w:val="0076067B"/>
    <w:rsid w:val="0076082F"/>
    <w:rsid w:val="00760AD0"/>
    <w:rsid w:val="00761156"/>
    <w:rsid w:val="00761263"/>
    <w:rsid w:val="007613F6"/>
    <w:rsid w:val="0076150F"/>
    <w:rsid w:val="00761A80"/>
    <w:rsid w:val="00761C26"/>
    <w:rsid w:val="00762211"/>
    <w:rsid w:val="007630B8"/>
    <w:rsid w:val="007635CB"/>
    <w:rsid w:val="00763674"/>
    <w:rsid w:val="0076370E"/>
    <w:rsid w:val="00763F31"/>
    <w:rsid w:val="0076481F"/>
    <w:rsid w:val="00764ABC"/>
    <w:rsid w:val="00764DA4"/>
    <w:rsid w:val="00765645"/>
    <w:rsid w:val="007658B8"/>
    <w:rsid w:val="00765B74"/>
    <w:rsid w:val="00765BAE"/>
    <w:rsid w:val="00766394"/>
    <w:rsid w:val="007665A0"/>
    <w:rsid w:val="0076676B"/>
    <w:rsid w:val="00766C31"/>
    <w:rsid w:val="00767188"/>
    <w:rsid w:val="0076729F"/>
    <w:rsid w:val="007674A4"/>
    <w:rsid w:val="007674CC"/>
    <w:rsid w:val="0076751A"/>
    <w:rsid w:val="00767770"/>
    <w:rsid w:val="007679A0"/>
    <w:rsid w:val="00767A39"/>
    <w:rsid w:val="00767BA0"/>
    <w:rsid w:val="00767BFE"/>
    <w:rsid w:val="00767C50"/>
    <w:rsid w:val="00770770"/>
    <w:rsid w:val="0077100B"/>
    <w:rsid w:val="007712EB"/>
    <w:rsid w:val="007713F2"/>
    <w:rsid w:val="00771655"/>
    <w:rsid w:val="0077197E"/>
    <w:rsid w:val="00771BC0"/>
    <w:rsid w:val="00772077"/>
    <w:rsid w:val="007731D2"/>
    <w:rsid w:val="00773255"/>
    <w:rsid w:val="00773282"/>
    <w:rsid w:val="00773705"/>
    <w:rsid w:val="007737D3"/>
    <w:rsid w:val="0077388B"/>
    <w:rsid w:val="00773EAD"/>
    <w:rsid w:val="007742A6"/>
    <w:rsid w:val="007742C6"/>
    <w:rsid w:val="00774CB2"/>
    <w:rsid w:val="00774D3F"/>
    <w:rsid w:val="00775095"/>
    <w:rsid w:val="0077528A"/>
    <w:rsid w:val="00775950"/>
    <w:rsid w:val="007760B3"/>
    <w:rsid w:val="0077616B"/>
    <w:rsid w:val="0077641D"/>
    <w:rsid w:val="007766ED"/>
    <w:rsid w:val="00776A6F"/>
    <w:rsid w:val="00776A7E"/>
    <w:rsid w:val="00776D3A"/>
    <w:rsid w:val="007779A8"/>
    <w:rsid w:val="00777A10"/>
    <w:rsid w:val="00777CF8"/>
    <w:rsid w:val="00777D4D"/>
    <w:rsid w:val="00777DFC"/>
    <w:rsid w:val="00780326"/>
    <w:rsid w:val="0078047B"/>
    <w:rsid w:val="007805E8"/>
    <w:rsid w:val="00780764"/>
    <w:rsid w:val="00780E32"/>
    <w:rsid w:val="00781113"/>
    <w:rsid w:val="0078119E"/>
    <w:rsid w:val="007816B5"/>
    <w:rsid w:val="00781BD4"/>
    <w:rsid w:val="00781C30"/>
    <w:rsid w:val="00781FAC"/>
    <w:rsid w:val="00782550"/>
    <w:rsid w:val="007827C8"/>
    <w:rsid w:val="00782957"/>
    <w:rsid w:val="00782A42"/>
    <w:rsid w:val="00782A5E"/>
    <w:rsid w:val="00782E80"/>
    <w:rsid w:val="0078343A"/>
    <w:rsid w:val="00783683"/>
    <w:rsid w:val="00783AEB"/>
    <w:rsid w:val="00783EF3"/>
    <w:rsid w:val="00784261"/>
    <w:rsid w:val="00784BF9"/>
    <w:rsid w:val="007850BE"/>
    <w:rsid w:val="007850F8"/>
    <w:rsid w:val="007859B5"/>
    <w:rsid w:val="00785BF4"/>
    <w:rsid w:val="00785C1E"/>
    <w:rsid w:val="007861E6"/>
    <w:rsid w:val="00786318"/>
    <w:rsid w:val="007868FA"/>
    <w:rsid w:val="00786DC1"/>
    <w:rsid w:val="00786EEC"/>
    <w:rsid w:val="00787408"/>
    <w:rsid w:val="00787A0B"/>
    <w:rsid w:val="00787B5D"/>
    <w:rsid w:val="00790A26"/>
    <w:rsid w:val="00790B45"/>
    <w:rsid w:val="007913AD"/>
    <w:rsid w:val="0079190D"/>
    <w:rsid w:val="00791A57"/>
    <w:rsid w:val="007923EB"/>
    <w:rsid w:val="00792610"/>
    <w:rsid w:val="00792A9D"/>
    <w:rsid w:val="00792A9E"/>
    <w:rsid w:val="00792B10"/>
    <w:rsid w:val="00792B45"/>
    <w:rsid w:val="00792F6F"/>
    <w:rsid w:val="007931AF"/>
    <w:rsid w:val="007933BC"/>
    <w:rsid w:val="007935F5"/>
    <w:rsid w:val="0079375C"/>
    <w:rsid w:val="00793AF7"/>
    <w:rsid w:val="00793D91"/>
    <w:rsid w:val="00793EC1"/>
    <w:rsid w:val="00794740"/>
    <w:rsid w:val="00795318"/>
    <w:rsid w:val="0079544C"/>
    <w:rsid w:val="00795C2F"/>
    <w:rsid w:val="00795CAF"/>
    <w:rsid w:val="00795CD8"/>
    <w:rsid w:val="00796837"/>
    <w:rsid w:val="00796966"/>
    <w:rsid w:val="00796AF4"/>
    <w:rsid w:val="00797078"/>
    <w:rsid w:val="00797363"/>
    <w:rsid w:val="00797648"/>
    <w:rsid w:val="007977F0"/>
    <w:rsid w:val="0079785F"/>
    <w:rsid w:val="00797DB5"/>
    <w:rsid w:val="00797DBA"/>
    <w:rsid w:val="007A07A7"/>
    <w:rsid w:val="007A0A69"/>
    <w:rsid w:val="007A0E6C"/>
    <w:rsid w:val="007A107A"/>
    <w:rsid w:val="007A10FE"/>
    <w:rsid w:val="007A13B0"/>
    <w:rsid w:val="007A18E1"/>
    <w:rsid w:val="007A1B19"/>
    <w:rsid w:val="007A1C81"/>
    <w:rsid w:val="007A1D0F"/>
    <w:rsid w:val="007A2282"/>
    <w:rsid w:val="007A2D8A"/>
    <w:rsid w:val="007A323E"/>
    <w:rsid w:val="007A3282"/>
    <w:rsid w:val="007A3295"/>
    <w:rsid w:val="007A388D"/>
    <w:rsid w:val="007A3C54"/>
    <w:rsid w:val="007A3DB3"/>
    <w:rsid w:val="007A45C3"/>
    <w:rsid w:val="007A45CB"/>
    <w:rsid w:val="007A466C"/>
    <w:rsid w:val="007A48A9"/>
    <w:rsid w:val="007A4E04"/>
    <w:rsid w:val="007A54F8"/>
    <w:rsid w:val="007A5719"/>
    <w:rsid w:val="007A57BD"/>
    <w:rsid w:val="007A5AA8"/>
    <w:rsid w:val="007A602A"/>
    <w:rsid w:val="007A61E8"/>
    <w:rsid w:val="007A61EB"/>
    <w:rsid w:val="007A659B"/>
    <w:rsid w:val="007A6949"/>
    <w:rsid w:val="007A6D1E"/>
    <w:rsid w:val="007A6E96"/>
    <w:rsid w:val="007A6F85"/>
    <w:rsid w:val="007A7825"/>
    <w:rsid w:val="007A7B11"/>
    <w:rsid w:val="007A7C1A"/>
    <w:rsid w:val="007A7C41"/>
    <w:rsid w:val="007A7C6B"/>
    <w:rsid w:val="007A7E69"/>
    <w:rsid w:val="007A7EEB"/>
    <w:rsid w:val="007B01C5"/>
    <w:rsid w:val="007B021B"/>
    <w:rsid w:val="007B07A9"/>
    <w:rsid w:val="007B089F"/>
    <w:rsid w:val="007B0B6D"/>
    <w:rsid w:val="007B0E81"/>
    <w:rsid w:val="007B100D"/>
    <w:rsid w:val="007B117C"/>
    <w:rsid w:val="007B145F"/>
    <w:rsid w:val="007B2364"/>
    <w:rsid w:val="007B23AA"/>
    <w:rsid w:val="007B246B"/>
    <w:rsid w:val="007B278A"/>
    <w:rsid w:val="007B2B04"/>
    <w:rsid w:val="007B2C5E"/>
    <w:rsid w:val="007B3067"/>
    <w:rsid w:val="007B321B"/>
    <w:rsid w:val="007B3250"/>
    <w:rsid w:val="007B35F6"/>
    <w:rsid w:val="007B36ED"/>
    <w:rsid w:val="007B392D"/>
    <w:rsid w:val="007B3EC2"/>
    <w:rsid w:val="007B3EE9"/>
    <w:rsid w:val="007B433B"/>
    <w:rsid w:val="007B4417"/>
    <w:rsid w:val="007B45B1"/>
    <w:rsid w:val="007B4616"/>
    <w:rsid w:val="007B47D1"/>
    <w:rsid w:val="007B4A4C"/>
    <w:rsid w:val="007B4C2C"/>
    <w:rsid w:val="007B515D"/>
    <w:rsid w:val="007B51D8"/>
    <w:rsid w:val="007B526A"/>
    <w:rsid w:val="007B5751"/>
    <w:rsid w:val="007B585C"/>
    <w:rsid w:val="007B59EC"/>
    <w:rsid w:val="007B5C70"/>
    <w:rsid w:val="007B5CBD"/>
    <w:rsid w:val="007B5EA9"/>
    <w:rsid w:val="007B615B"/>
    <w:rsid w:val="007B65FB"/>
    <w:rsid w:val="007B66ED"/>
    <w:rsid w:val="007B695F"/>
    <w:rsid w:val="007B6999"/>
    <w:rsid w:val="007B6A35"/>
    <w:rsid w:val="007B6D20"/>
    <w:rsid w:val="007B70DD"/>
    <w:rsid w:val="007B7181"/>
    <w:rsid w:val="007B71DE"/>
    <w:rsid w:val="007B7216"/>
    <w:rsid w:val="007B7D1E"/>
    <w:rsid w:val="007B7D8E"/>
    <w:rsid w:val="007BB482"/>
    <w:rsid w:val="007C0426"/>
    <w:rsid w:val="007C04E2"/>
    <w:rsid w:val="007C0528"/>
    <w:rsid w:val="007C104F"/>
    <w:rsid w:val="007C11AF"/>
    <w:rsid w:val="007C1302"/>
    <w:rsid w:val="007C14B3"/>
    <w:rsid w:val="007C1A24"/>
    <w:rsid w:val="007C1AD1"/>
    <w:rsid w:val="007C1B33"/>
    <w:rsid w:val="007C1B36"/>
    <w:rsid w:val="007C1C76"/>
    <w:rsid w:val="007C1E9E"/>
    <w:rsid w:val="007C24A0"/>
    <w:rsid w:val="007C29CC"/>
    <w:rsid w:val="007C2A3B"/>
    <w:rsid w:val="007C2C77"/>
    <w:rsid w:val="007C2DEC"/>
    <w:rsid w:val="007C32AB"/>
    <w:rsid w:val="007C364D"/>
    <w:rsid w:val="007C3968"/>
    <w:rsid w:val="007C3A79"/>
    <w:rsid w:val="007C3B2B"/>
    <w:rsid w:val="007C4860"/>
    <w:rsid w:val="007C4EBB"/>
    <w:rsid w:val="007C4ED0"/>
    <w:rsid w:val="007C5155"/>
    <w:rsid w:val="007C55D3"/>
    <w:rsid w:val="007C5838"/>
    <w:rsid w:val="007C5BCF"/>
    <w:rsid w:val="007C5F9C"/>
    <w:rsid w:val="007C6014"/>
    <w:rsid w:val="007C6075"/>
    <w:rsid w:val="007C6F99"/>
    <w:rsid w:val="007C702A"/>
    <w:rsid w:val="007C756B"/>
    <w:rsid w:val="007C75E9"/>
    <w:rsid w:val="007D00DD"/>
    <w:rsid w:val="007D0287"/>
    <w:rsid w:val="007D0CAC"/>
    <w:rsid w:val="007D0F6F"/>
    <w:rsid w:val="007D1386"/>
    <w:rsid w:val="007D148B"/>
    <w:rsid w:val="007D171D"/>
    <w:rsid w:val="007D17E8"/>
    <w:rsid w:val="007D1A60"/>
    <w:rsid w:val="007D1B6C"/>
    <w:rsid w:val="007D2284"/>
    <w:rsid w:val="007D22E4"/>
    <w:rsid w:val="007D23B9"/>
    <w:rsid w:val="007D23BC"/>
    <w:rsid w:val="007D23C2"/>
    <w:rsid w:val="007D28FE"/>
    <w:rsid w:val="007D2B6F"/>
    <w:rsid w:val="007D2F43"/>
    <w:rsid w:val="007D3071"/>
    <w:rsid w:val="007D328F"/>
    <w:rsid w:val="007D32B1"/>
    <w:rsid w:val="007D360B"/>
    <w:rsid w:val="007D41DC"/>
    <w:rsid w:val="007D49D2"/>
    <w:rsid w:val="007D4BF2"/>
    <w:rsid w:val="007D4C58"/>
    <w:rsid w:val="007D51A1"/>
    <w:rsid w:val="007D548E"/>
    <w:rsid w:val="007D563C"/>
    <w:rsid w:val="007D6157"/>
    <w:rsid w:val="007D63D2"/>
    <w:rsid w:val="007D69FF"/>
    <w:rsid w:val="007D720B"/>
    <w:rsid w:val="007D791C"/>
    <w:rsid w:val="007D7A4C"/>
    <w:rsid w:val="007D7A71"/>
    <w:rsid w:val="007E0255"/>
    <w:rsid w:val="007E0473"/>
    <w:rsid w:val="007E0802"/>
    <w:rsid w:val="007E0AEF"/>
    <w:rsid w:val="007E1011"/>
    <w:rsid w:val="007E11A7"/>
    <w:rsid w:val="007E11EB"/>
    <w:rsid w:val="007E1BAF"/>
    <w:rsid w:val="007E1C1B"/>
    <w:rsid w:val="007E1D16"/>
    <w:rsid w:val="007E2012"/>
    <w:rsid w:val="007E2550"/>
    <w:rsid w:val="007E28C6"/>
    <w:rsid w:val="007E2D4B"/>
    <w:rsid w:val="007E36AE"/>
    <w:rsid w:val="007E3753"/>
    <w:rsid w:val="007E3C80"/>
    <w:rsid w:val="007E3D58"/>
    <w:rsid w:val="007E3EE9"/>
    <w:rsid w:val="007E41AF"/>
    <w:rsid w:val="007E44C4"/>
    <w:rsid w:val="007E45E8"/>
    <w:rsid w:val="007E46DB"/>
    <w:rsid w:val="007E49EA"/>
    <w:rsid w:val="007E4A02"/>
    <w:rsid w:val="007E4C0D"/>
    <w:rsid w:val="007E52CD"/>
    <w:rsid w:val="007E5376"/>
    <w:rsid w:val="007E5706"/>
    <w:rsid w:val="007E66C1"/>
    <w:rsid w:val="007E6729"/>
    <w:rsid w:val="007E6B01"/>
    <w:rsid w:val="007E7079"/>
    <w:rsid w:val="007E7146"/>
    <w:rsid w:val="007E741E"/>
    <w:rsid w:val="007E7E89"/>
    <w:rsid w:val="007E7ED8"/>
    <w:rsid w:val="007E7EE7"/>
    <w:rsid w:val="007F0459"/>
    <w:rsid w:val="007F0515"/>
    <w:rsid w:val="007F07C3"/>
    <w:rsid w:val="007F0C2E"/>
    <w:rsid w:val="007F0CDD"/>
    <w:rsid w:val="007F0F31"/>
    <w:rsid w:val="007F1001"/>
    <w:rsid w:val="007F10CF"/>
    <w:rsid w:val="007F11E4"/>
    <w:rsid w:val="007F174A"/>
    <w:rsid w:val="007F17C0"/>
    <w:rsid w:val="007F1B5A"/>
    <w:rsid w:val="007F1B7A"/>
    <w:rsid w:val="007F1D05"/>
    <w:rsid w:val="007F214A"/>
    <w:rsid w:val="007F25F7"/>
    <w:rsid w:val="007F2EEE"/>
    <w:rsid w:val="007F2F9B"/>
    <w:rsid w:val="007F32FB"/>
    <w:rsid w:val="007F3C66"/>
    <w:rsid w:val="007F3CC5"/>
    <w:rsid w:val="007F3D92"/>
    <w:rsid w:val="007F409A"/>
    <w:rsid w:val="007F4185"/>
    <w:rsid w:val="007F41E8"/>
    <w:rsid w:val="007F43B1"/>
    <w:rsid w:val="007F4458"/>
    <w:rsid w:val="007F47A9"/>
    <w:rsid w:val="007F5206"/>
    <w:rsid w:val="007F5D88"/>
    <w:rsid w:val="007F5E45"/>
    <w:rsid w:val="007F5FB8"/>
    <w:rsid w:val="007F6411"/>
    <w:rsid w:val="007F6431"/>
    <w:rsid w:val="007F65CB"/>
    <w:rsid w:val="007F6C74"/>
    <w:rsid w:val="007F6E67"/>
    <w:rsid w:val="007F7262"/>
    <w:rsid w:val="007F793C"/>
    <w:rsid w:val="007F7971"/>
    <w:rsid w:val="007F7A1A"/>
    <w:rsid w:val="007F7A25"/>
    <w:rsid w:val="007F7CF1"/>
    <w:rsid w:val="007F7DD0"/>
    <w:rsid w:val="007F7E8D"/>
    <w:rsid w:val="007F7F6E"/>
    <w:rsid w:val="008001B2"/>
    <w:rsid w:val="00800359"/>
    <w:rsid w:val="00800366"/>
    <w:rsid w:val="008007BA"/>
    <w:rsid w:val="00800D8E"/>
    <w:rsid w:val="00800F23"/>
    <w:rsid w:val="008010D4"/>
    <w:rsid w:val="008010F9"/>
    <w:rsid w:val="0080148B"/>
    <w:rsid w:val="008017EA"/>
    <w:rsid w:val="008019FC"/>
    <w:rsid w:val="00801BE5"/>
    <w:rsid w:val="008025CE"/>
    <w:rsid w:val="00802971"/>
    <w:rsid w:val="008029D4"/>
    <w:rsid w:val="00802E93"/>
    <w:rsid w:val="00802FF1"/>
    <w:rsid w:val="008035FD"/>
    <w:rsid w:val="00803765"/>
    <w:rsid w:val="0080388D"/>
    <w:rsid w:val="008040A4"/>
    <w:rsid w:val="008048A0"/>
    <w:rsid w:val="00804DC1"/>
    <w:rsid w:val="00804FF4"/>
    <w:rsid w:val="00805117"/>
    <w:rsid w:val="0080548B"/>
    <w:rsid w:val="0080572E"/>
    <w:rsid w:val="00805DDC"/>
    <w:rsid w:val="00805DE4"/>
    <w:rsid w:val="008065D7"/>
    <w:rsid w:val="00806953"/>
    <w:rsid w:val="00806B58"/>
    <w:rsid w:val="00806CBE"/>
    <w:rsid w:val="00807AC1"/>
    <w:rsid w:val="00807B69"/>
    <w:rsid w:val="00810013"/>
    <w:rsid w:val="0081047E"/>
    <w:rsid w:val="00810B2F"/>
    <w:rsid w:val="00810BB0"/>
    <w:rsid w:val="00810F57"/>
    <w:rsid w:val="008110BF"/>
    <w:rsid w:val="008113B4"/>
    <w:rsid w:val="008113CB"/>
    <w:rsid w:val="008119ED"/>
    <w:rsid w:val="00812331"/>
    <w:rsid w:val="00812568"/>
    <w:rsid w:val="008125E7"/>
    <w:rsid w:val="008129C3"/>
    <w:rsid w:val="00812B44"/>
    <w:rsid w:val="00812D45"/>
    <w:rsid w:val="00812E30"/>
    <w:rsid w:val="00812F12"/>
    <w:rsid w:val="00813C6C"/>
    <w:rsid w:val="0081436B"/>
    <w:rsid w:val="00814379"/>
    <w:rsid w:val="008144AE"/>
    <w:rsid w:val="00814992"/>
    <w:rsid w:val="00815241"/>
    <w:rsid w:val="00815C46"/>
    <w:rsid w:val="00815C84"/>
    <w:rsid w:val="00815D0F"/>
    <w:rsid w:val="00815FD6"/>
    <w:rsid w:val="00816075"/>
    <w:rsid w:val="008162FA"/>
    <w:rsid w:val="00816ABA"/>
    <w:rsid w:val="00816FF6"/>
    <w:rsid w:val="0081713E"/>
    <w:rsid w:val="008172A0"/>
    <w:rsid w:val="00817382"/>
    <w:rsid w:val="00817445"/>
    <w:rsid w:val="0081799E"/>
    <w:rsid w:val="00817E9E"/>
    <w:rsid w:val="00817F7C"/>
    <w:rsid w:val="00820510"/>
    <w:rsid w:val="0082094B"/>
    <w:rsid w:val="00820A28"/>
    <w:rsid w:val="00820A29"/>
    <w:rsid w:val="00821241"/>
    <w:rsid w:val="00821860"/>
    <w:rsid w:val="00821877"/>
    <w:rsid w:val="00821D48"/>
    <w:rsid w:val="00821E02"/>
    <w:rsid w:val="00821EE1"/>
    <w:rsid w:val="008226C4"/>
    <w:rsid w:val="008226E5"/>
    <w:rsid w:val="0082291E"/>
    <w:rsid w:val="00822B0B"/>
    <w:rsid w:val="00822B88"/>
    <w:rsid w:val="00822C52"/>
    <w:rsid w:val="008231F1"/>
    <w:rsid w:val="00823382"/>
    <w:rsid w:val="008234EF"/>
    <w:rsid w:val="00823EE0"/>
    <w:rsid w:val="0082431E"/>
    <w:rsid w:val="00824B52"/>
    <w:rsid w:val="00824CA9"/>
    <w:rsid w:val="00824F96"/>
    <w:rsid w:val="00824FCF"/>
    <w:rsid w:val="00826887"/>
    <w:rsid w:val="00826E0D"/>
    <w:rsid w:val="00827062"/>
    <w:rsid w:val="0082772C"/>
    <w:rsid w:val="00827A78"/>
    <w:rsid w:val="00827B77"/>
    <w:rsid w:val="00827BAD"/>
    <w:rsid w:val="00827DD7"/>
    <w:rsid w:val="00830438"/>
    <w:rsid w:val="00830605"/>
    <w:rsid w:val="00830DAC"/>
    <w:rsid w:val="00830F87"/>
    <w:rsid w:val="0083133D"/>
    <w:rsid w:val="00831763"/>
    <w:rsid w:val="008318D5"/>
    <w:rsid w:val="00831C93"/>
    <w:rsid w:val="00831D06"/>
    <w:rsid w:val="00831EEF"/>
    <w:rsid w:val="0083218D"/>
    <w:rsid w:val="0083226B"/>
    <w:rsid w:val="008324CE"/>
    <w:rsid w:val="008326E3"/>
    <w:rsid w:val="00833035"/>
    <w:rsid w:val="008334F4"/>
    <w:rsid w:val="008339AC"/>
    <w:rsid w:val="008339EB"/>
    <w:rsid w:val="00833B67"/>
    <w:rsid w:val="00833FAD"/>
    <w:rsid w:val="0083415F"/>
    <w:rsid w:val="008341C4"/>
    <w:rsid w:val="00834388"/>
    <w:rsid w:val="008343E9"/>
    <w:rsid w:val="00834C25"/>
    <w:rsid w:val="00834D47"/>
    <w:rsid w:val="00834EA9"/>
    <w:rsid w:val="00835182"/>
    <w:rsid w:val="008355D1"/>
    <w:rsid w:val="008355E3"/>
    <w:rsid w:val="008359EA"/>
    <w:rsid w:val="00835B2D"/>
    <w:rsid w:val="0083607E"/>
    <w:rsid w:val="008362F1"/>
    <w:rsid w:val="008362F6"/>
    <w:rsid w:val="008364DB"/>
    <w:rsid w:val="00836726"/>
    <w:rsid w:val="008367F2"/>
    <w:rsid w:val="008369F3"/>
    <w:rsid w:val="00836B23"/>
    <w:rsid w:val="00836DD0"/>
    <w:rsid w:val="008372D3"/>
    <w:rsid w:val="00837335"/>
    <w:rsid w:val="00837D79"/>
    <w:rsid w:val="008405C1"/>
    <w:rsid w:val="0084060A"/>
    <w:rsid w:val="00840BCA"/>
    <w:rsid w:val="00840F47"/>
    <w:rsid w:val="00841022"/>
    <w:rsid w:val="0084163D"/>
    <w:rsid w:val="00841914"/>
    <w:rsid w:val="00841965"/>
    <w:rsid w:val="00841E31"/>
    <w:rsid w:val="008420B8"/>
    <w:rsid w:val="008421C8"/>
    <w:rsid w:val="008428B1"/>
    <w:rsid w:val="00842A3C"/>
    <w:rsid w:val="008439AF"/>
    <w:rsid w:val="00843B04"/>
    <w:rsid w:val="00843D5A"/>
    <w:rsid w:val="00843F41"/>
    <w:rsid w:val="00844197"/>
    <w:rsid w:val="0084419F"/>
    <w:rsid w:val="0084445C"/>
    <w:rsid w:val="0084480B"/>
    <w:rsid w:val="00844949"/>
    <w:rsid w:val="0084497B"/>
    <w:rsid w:val="00844D88"/>
    <w:rsid w:val="0084515A"/>
    <w:rsid w:val="00845331"/>
    <w:rsid w:val="008453B3"/>
    <w:rsid w:val="00845858"/>
    <w:rsid w:val="00845D08"/>
    <w:rsid w:val="00846016"/>
    <w:rsid w:val="008464AB"/>
    <w:rsid w:val="008466EA"/>
    <w:rsid w:val="00846A01"/>
    <w:rsid w:val="00846E38"/>
    <w:rsid w:val="00846E59"/>
    <w:rsid w:val="00847991"/>
    <w:rsid w:val="00847A78"/>
    <w:rsid w:val="00847CA2"/>
    <w:rsid w:val="00847FC2"/>
    <w:rsid w:val="00850502"/>
    <w:rsid w:val="0085052F"/>
    <w:rsid w:val="00850F5C"/>
    <w:rsid w:val="008511B1"/>
    <w:rsid w:val="0085166F"/>
    <w:rsid w:val="00851FC3"/>
    <w:rsid w:val="0085242A"/>
    <w:rsid w:val="0085290B"/>
    <w:rsid w:val="00852CA2"/>
    <w:rsid w:val="00853568"/>
    <w:rsid w:val="00853BEE"/>
    <w:rsid w:val="00853DE7"/>
    <w:rsid w:val="00853E78"/>
    <w:rsid w:val="00854013"/>
    <w:rsid w:val="00854061"/>
    <w:rsid w:val="00854096"/>
    <w:rsid w:val="00854132"/>
    <w:rsid w:val="00854575"/>
    <w:rsid w:val="0085467E"/>
    <w:rsid w:val="00854734"/>
    <w:rsid w:val="008552BE"/>
    <w:rsid w:val="008554E6"/>
    <w:rsid w:val="008554F9"/>
    <w:rsid w:val="008557B0"/>
    <w:rsid w:val="00855904"/>
    <w:rsid w:val="00855A1A"/>
    <w:rsid w:val="00855C7D"/>
    <w:rsid w:val="008564FA"/>
    <w:rsid w:val="00856583"/>
    <w:rsid w:val="00856B23"/>
    <w:rsid w:val="00856C1F"/>
    <w:rsid w:val="00857109"/>
    <w:rsid w:val="008572FC"/>
    <w:rsid w:val="00857616"/>
    <w:rsid w:val="0085769F"/>
    <w:rsid w:val="00857C54"/>
    <w:rsid w:val="00860109"/>
    <w:rsid w:val="00860378"/>
    <w:rsid w:val="00860523"/>
    <w:rsid w:val="008605EA"/>
    <w:rsid w:val="0086078A"/>
    <w:rsid w:val="008607E9"/>
    <w:rsid w:val="0086099B"/>
    <w:rsid w:val="00860C92"/>
    <w:rsid w:val="008618EB"/>
    <w:rsid w:val="00861E38"/>
    <w:rsid w:val="00861E8F"/>
    <w:rsid w:val="00861FDD"/>
    <w:rsid w:val="00861FF6"/>
    <w:rsid w:val="008620A5"/>
    <w:rsid w:val="0086231D"/>
    <w:rsid w:val="008626F6"/>
    <w:rsid w:val="00862826"/>
    <w:rsid w:val="00862944"/>
    <w:rsid w:val="00862AFA"/>
    <w:rsid w:val="00862C28"/>
    <w:rsid w:val="00862DB4"/>
    <w:rsid w:val="00862E62"/>
    <w:rsid w:val="00863226"/>
    <w:rsid w:val="008633D2"/>
    <w:rsid w:val="0086439B"/>
    <w:rsid w:val="00864BF1"/>
    <w:rsid w:val="00865012"/>
    <w:rsid w:val="00865392"/>
    <w:rsid w:val="008653E9"/>
    <w:rsid w:val="00865696"/>
    <w:rsid w:val="00865A3E"/>
    <w:rsid w:val="00865AD1"/>
    <w:rsid w:val="00865D60"/>
    <w:rsid w:val="008679C6"/>
    <w:rsid w:val="00867A1C"/>
    <w:rsid w:val="00867B46"/>
    <w:rsid w:val="00867E5B"/>
    <w:rsid w:val="0087050A"/>
    <w:rsid w:val="00870D0B"/>
    <w:rsid w:val="008715B0"/>
    <w:rsid w:val="00871B27"/>
    <w:rsid w:val="00871DF9"/>
    <w:rsid w:val="008720BB"/>
    <w:rsid w:val="00872A76"/>
    <w:rsid w:val="00872DEA"/>
    <w:rsid w:val="008735AE"/>
    <w:rsid w:val="008736BE"/>
    <w:rsid w:val="00873BAC"/>
    <w:rsid w:val="008742F7"/>
    <w:rsid w:val="00874465"/>
    <w:rsid w:val="0087456B"/>
    <w:rsid w:val="00874669"/>
    <w:rsid w:val="00874D4B"/>
    <w:rsid w:val="00874F97"/>
    <w:rsid w:val="00874FA8"/>
    <w:rsid w:val="00875220"/>
    <w:rsid w:val="008755CA"/>
    <w:rsid w:val="00875DA5"/>
    <w:rsid w:val="00875E75"/>
    <w:rsid w:val="00875EE7"/>
    <w:rsid w:val="00876471"/>
    <w:rsid w:val="0087647F"/>
    <w:rsid w:val="00876494"/>
    <w:rsid w:val="0087689A"/>
    <w:rsid w:val="00876BE3"/>
    <w:rsid w:val="00876C40"/>
    <w:rsid w:val="00877446"/>
    <w:rsid w:val="00877768"/>
    <w:rsid w:val="008777DA"/>
    <w:rsid w:val="00877E70"/>
    <w:rsid w:val="00880006"/>
    <w:rsid w:val="008800FF"/>
    <w:rsid w:val="00880334"/>
    <w:rsid w:val="00880DA9"/>
    <w:rsid w:val="008811ED"/>
    <w:rsid w:val="008812D3"/>
    <w:rsid w:val="008813A6"/>
    <w:rsid w:val="008815C4"/>
    <w:rsid w:val="008816F7"/>
    <w:rsid w:val="008818FE"/>
    <w:rsid w:val="00881B80"/>
    <w:rsid w:val="00881C32"/>
    <w:rsid w:val="00881E0B"/>
    <w:rsid w:val="00881E1D"/>
    <w:rsid w:val="00881EDA"/>
    <w:rsid w:val="00882071"/>
    <w:rsid w:val="0088283F"/>
    <w:rsid w:val="00882B2F"/>
    <w:rsid w:val="00882C74"/>
    <w:rsid w:val="0088328D"/>
    <w:rsid w:val="00883EBC"/>
    <w:rsid w:val="00883EEF"/>
    <w:rsid w:val="00884254"/>
    <w:rsid w:val="0088461D"/>
    <w:rsid w:val="00884807"/>
    <w:rsid w:val="00884D64"/>
    <w:rsid w:val="00884F7A"/>
    <w:rsid w:val="0088501A"/>
    <w:rsid w:val="00885637"/>
    <w:rsid w:val="00885B07"/>
    <w:rsid w:val="00885D1F"/>
    <w:rsid w:val="008862B8"/>
    <w:rsid w:val="008862D0"/>
    <w:rsid w:val="00886510"/>
    <w:rsid w:val="0088667D"/>
    <w:rsid w:val="00886861"/>
    <w:rsid w:val="008868AF"/>
    <w:rsid w:val="00886A29"/>
    <w:rsid w:val="00886B17"/>
    <w:rsid w:val="00887168"/>
    <w:rsid w:val="008873C0"/>
    <w:rsid w:val="00887BC6"/>
    <w:rsid w:val="00887D74"/>
    <w:rsid w:val="008905F0"/>
    <w:rsid w:val="0089060F"/>
    <w:rsid w:val="008908BB"/>
    <w:rsid w:val="008908BC"/>
    <w:rsid w:val="00890D9A"/>
    <w:rsid w:val="00890ECC"/>
    <w:rsid w:val="00890F24"/>
    <w:rsid w:val="00891084"/>
    <w:rsid w:val="00891241"/>
    <w:rsid w:val="00891429"/>
    <w:rsid w:val="0089144C"/>
    <w:rsid w:val="00891D88"/>
    <w:rsid w:val="00892047"/>
    <w:rsid w:val="008921D9"/>
    <w:rsid w:val="00892280"/>
    <w:rsid w:val="0089301F"/>
    <w:rsid w:val="00893139"/>
    <w:rsid w:val="00893465"/>
    <w:rsid w:val="008934B6"/>
    <w:rsid w:val="00893644"/>
    <w:rsid w:val="0089389A"/>
    <w:rsid w:val="00893CA5"/>
    <w:rsid w:val="00893EAE"/>
    <w:rsid w:val="00894905"/>
    <w:rsid w:val="00894E15"/>
    <w:rsid w:val="00894EA3"/>
    <w:rsid w:val="00894F2E"/>
    <w:rsid w:val="008951B5"/>
    <w:rsid w:val="00895666"/>
    <w:rsid w:val="00895B6A"/>
    <w:rsid w:val="00895B71"/>
    <w:rsid w:val="00895C70"/>
    <w:rsid w:val="008961EA"/>
    <w:rsid w:val="008965D5"/>
    <w:rsid w:val="00896983"/>
    <w:rsid w:val="00896A49"/>
    <w:rsid w:val="0089760B"/>
    <w:rsid w:val="00897A54"/>
    <w:rsid w:val="008A0287"/>
    <w:rsid w:val="008A05FA"/>
    <w:rsid w:val="008A0EAF"/>
    <w:rsid w:val="008A11C0"/>
    <w:rsid w:val="008A135B"/>
    <w:rsid w:val="008A1AF3"/>
    <w:rsid w:val="008A1C26"/>
    <w:rsid w:val="008A1DFF"/>
    <w:rsid w:val="008A2865"/>
    <w:rsid w:val="008A2BB9"/>
    <w:rsid w:val="008A2BEA"/>
    <w:rsid w:val="008A304E"/>
    <w:rsid w:val="008A318E"/>
    <w:rsid w:val="008A37DA"/>
    <w:rsid w:val="008A3A19"/>
    <w:rsid w:val="008A3BFD"/>
    <w:rsid w:val="008A3ED8"/>
    <w:rsid w:val="008A41C6"/>
    <w:rsid w:val="008A438B"/>
    <w:rsid w:val="008A4574"/>
    <w:rsid w:val="008A457F"/>
    <w:rsid w:val="008A45B9"/>
    <w:rsid w:val="008A48E4"/>
    <w:rsid w:val="008A4AA9"/>
    <w:rsid w:val="008A4DA9"/>
    <w:rsid w:val="008A5616"/>
    <w:rsid w:val="008A5BA7"/>
    <w:rsid w:val="008A5C87"/>
    <w:rsid w:val="008A5D7A"/>
    <w:rsid w:val="008A6A70"/>
    <w:rsid w:val="008A6A72"/>
    <w:rsid w:val="008A6DDE"/>
    <w:rsid w:val="008A6F8A"/>
    <w:rsid w:val="008A7186"/>
    <w:rsid w:val="008A74DA"/>
    <w:rsid w:val="008A7566"/>
    <w:rsid w:val="008A75D0"/>
    <w:rsid w:val="008A7B0A"/>
    <w:rsid w:val="008A7CFC"/>
    <w:rsid w:val="008A7F3B"/>
    <w:rsid w:val="008A8A4E"/>
    <w:rsid w:val="008B0233"/>
    <w:rsid w:val="008B0DCD"/>
    <w:rsid w:val="008B0E03"/>
    <w:rsid w:val="008B0FB5"/>
    <w:rsid w:val="008B1655"/>
    <w:rsid w:val="008B18C4"/>
    <w:rsid w:val="008B1C53"/>
    <w:rsid w:val="008B22A0"/>
    <w:rsid w:val="008B2383"/>
    <w:rsid w:val="008B24B3"/>
    <w:rsid w:val="008B27AD"/>
    <w:rsid w:val="008B2A75"/>
    <w:rsid w:val="008B2D92"/>
    <w:rsid w:val="008B3046"/>
    <w:rsid w:val="008B364D"/>
    <w:rsid w:val="008B36D2"/>
    <w:rsid w:val="008B3C43"/>
    <w:rsid w:val="008B40C1"/>
    <w:rsid w:val="008B41E0"/>
    <w:rsid w:val="008B4703"/>
    <w:rsid w:val="008B49A1"/>
    <w:rsid w:val="008B4DAE"/>
    <w:rsid w:val="008B4F85"/>
    <w:rsid w:val="008B5370"/>
    <w:rsid w:val="008B546E"/>
    <w:rsid w:val="008B5A87"/>
    <w:rsid w:val="008B5ABF"/>
    <w:rsid w:val="008B5B89"/>
    <w:rsid w:val="008B5F05"/>
    <w:rsid w:val="008B5F4B"/>
    <w:rsid w:val="008B6375"/>
    <w:rsid w:val="008B64B9"/>
    <w:rsid w:val="008B66BC"/>
    <w:rsid w:val="008B6DF1"/>
    <w:rsid w:val="008B6EA2"/>
    <w:rsid w:val="008B71FD"/>
    <w:rsid w:val="008B7242"/>
    <w:rsid w:val="008B7269"/>
    <w:rsid w:val="008B77DB"/>
    <w:rsid w:val="008B788A"/>
    <w:rsid w:val="008B7A3A"/>
    <w:rsid w:val="008B7B68"/>
    <w:rsid w:val="008B7BFA"/>
    <w:rsid w:val="008C024E"/>
    <w:rsid w:val="008C029C"/>
    <w:rsid w:val="008C07BC"/>
    <w:rsid w:val="008C0B58"/>
    <w:rsid w:val="008C0E33"/>
    <w:rsid w:val="008C0F9F"/>
    <w:rsid w:val="008C16E6"/>
    <w:rsid w:val="008C1A15"/>
    <w:rsid w:val="008C1BAC"/>
    <w:rsid w:val="008C35DD"/>
    <w:rsid w:val="008C39C4"/>
    <w:rsid w:val="008C3AD8"/>
    <w:rsid w:val="008C4780"/>
    <w:rsid w:val="008C48BE"/>
    <w:rsid w:val="008C4BC3"/>
    <w:rsid w:val="008C5189"/>
    <w:rsid w:val="008C536D"/>
    <w:rsid w:val="008C5C02"/>
    <w:rsid w:val="008C6371"/>
    <w:rsid w:val="008C67EB"/>
    <w:rsid w:val="008C69C1"/>
    <w:rsid w:val="008C7266"/>
    <w:rsid w:val="008C73B9"/>
    <w:rsid w:val="008C784C"/>
    <w:rsid w:val="008C7CE2"/>
    <w:rsid w:val="008C7DB1"/>
    <w:rsid w:val="008D0040"/>
    <w:rsid w:val="008D0073"/>
    <w:rsid w:val="008D009A"/>
    <w:rsid w:val="008D0596"/>
    <w:rsid w:val="008D05B1"/>
    <w:rsid w:val="008D071B"/>
    <w:rsid w:val="008D185C"/>
    <w:rsid w:val="008D19AB"/>
    <w:rsid w:val="008D1A15"/>
    <w:rsid w:val="008D1B5B"/>
    <w:rsid w:val="008D1CE4"/>
    <w:rsid w:val="008D1D23"/>
    <w:rsid w:val="008D1E00"/>
    <w:rsid w:val="008D2386"/>
    <w:rsid w:val="008D260F"/>
    <w:rsid w:val="008D2665"/>
    <w:rsid w:val="008D2750"/>
    <w:rsid w:val="008D29DD"/>
    <w:rsid w:val="008D2A35"/>
    <w:rsid w:val="008D2CF0"/>
    <w:rsid w:val="008D2E71"/>
    <w:rsid w:val="008D3265"/>
    <w:rsid w:val="008D37C0"/>
    <w:rsid w:val="008D3D50"/>
    <w:rsid w:val="008D42B4"/>
    <w:rsid w:val="008D441D"/>
    <w:rsid w:val="008D472A"/>
    <w:rsid w:val="008D4CA2"/>
    <w:rsid w:val="008D4D79"/>
    <w:rsid w:val="008D4F49"/>
    <w:rsid w:val="008D501F"/>
    <w:rsid w:val="008D509F"/>
    <w:rsid w:val="008D51C3"/>
    <w:rsid w:val="008D5646"/>
    <w:rsid w:val="008D5BBB"/>
    <w:rsid w:val="008D5D64"/>
    <w:rsid w:val="008D5F45"/>
    <w:rsid w:val="008D62A2"/>
    <w:rsid w:val="008D6752"/>
    <w:rsid w:val="008D69EE"/>
    <w:rsid w:val="008D6D60"/>
    <w:rsid w:val="008D6E66"/>
    <w:rsid w:val="008D78DD"/>
    <w:rsid w:val="008E02C9"/>
    <w:rsid w:val="008E0A42"/>
    <w:rsid w:val="008E0ABB"/>
    <w:rsid w:val="008E0CE6"/>
    <w:rsid w:val="008E101C"/>
    <w:rsid w:val="008E1684"/>
    <w:rsid w:val="008E17ED"/>
    <w:rsid w:val="008E1B90"/>
    <w:rsid w:val="008E2324"/>
    <w:rsid w:val="008E26C0"/>
    <w:rsid w:val="008E26D6"/>
    <w:rsid w:val="008E2712"/>
    <w:rsid w:val="008E2769"/>
    <w:rsid w:val="008E2862"/>
    <w:rsid w:val="008E2A3D"/>
    <w:rsid w:val="008E2B79"/>
    <w:rsid w:val="008E3203"/>
    <w:rsid w:val="008E3273"/>
    <w:rsid w:val="008E361A"/>
    <w:rsid w:val="008E368D"/>
    <w:rsid w:val="008E37AB"/>
    <w:rsid w:val="008E3891"/>
    <w:rsid w:val="008E38B1"/>
    <w:rsid w:val="008E3B6E"/>
    <w:rsid w:val="008E3C9E"/>
    <w:rsid w:val="008E3ED5"/>
    <w:rsid w:val="008E40A7"/>
    <w:rsid w:val="008E4771"/>
    <w:rsid w:val="008E4B07"/>
    <w:rsid w:val="008E506C"/>
    <w:rsid w:val="008E50EC"/>
    <w:rsid w:val="008E5260"/>
    <w:rsid w:val="008E5FDD"/>
    <w:rsid w:val="008E6131"/>
    <w:rsid w:val="008E650E"/>
    <w:rsid w:val="008E6CEA"/>
    <w:rsid w:val="008E7107"/>
    <w:rsid w:val="008E72DD"/>
    <w:rsid w:val="008E7894"/>
    <w:rsid w:val="008E78EF"/>
    <w:rsid w:val="008F06BC"/>
    <w:rsid w:val="008F0C0A"/>
    <w:rsid w:val="008F1500"/>
    <w:rsid w:val="008F191C"/>
    <w:rsid w:val="008F1D5E"/>
    <w:rsid w:val="008F1EF2"/>
    <w:rsid w:val="008F2366"/>
    <w:rsid w:val="008F2C53"/>
    <w:rsid w:val="008F3184"/>
    <w:rsid w:val="008F334A"/>
    <w:rsid w:val="008F3408"/>
    <w:rsid w:val="008F3CCE"/>
    <w:rsid w:val="008F44A5"/>
    <w:rsid w:val="008F4694"/>
    <w:rsid w:val="008F4A75"/>
    <w:rsid w:val="008F4D39"/>
    <w:rsid w:val="008F4E21"/>
    <w:rsid w:val="008F501F"/>
    <w:rsid w:val="008F57D9"/>
    <w:rsid w:val="008F595D"/>
    <w:rsid w:val="008F5965"/>
    <w:rsid w:val="008F59AC"/>
    <w:rsid w:val="008F5F69"/>
    <w:rsid w:val="008F5FAF"/>
    <w:rsid w:val="008F64EB"/>
    <w:rsid w:val="008F6BA3"/>
    <w:rsid w:val="008F7099"/>
    <w:rsid w:val="008F712C"/>
    <w:rsid w:val="008F7865"/>
    <w:rsid w:val="008F7ADA"/>
    <w:rsid w:val="008F7E1C"/>
    <w:rsid w:val="008F7E82"/>
    <w:rsid w:val="00901A27"/>
    <w:rsid w:val="00901C3C"/>
    <w:rsid w:val="0090243C"/>
    <w:rsid w:val="00902759"/>
    <w:rsid w:val="00902C01"/>
    <w:rsid w:val="0090322B"/>
    <w:rsid w:val="00903504"/>
    <w:rsid w:val="00903546"/>
    <w:rsid w:val="00903D14"/>
    <w:rsid w:val="00903D4E"/>
    <w:rsid w:val="00903F13"/>
    <w:rsid w:val="009040C2"/>
    <w:rsid w:val="00904284"/>
    <w:rsid w:val="00904427"/>
    <w:rsid w:val="00904549"/>
    <w:rsid w:val="00904CA5"/>
    <w:rsid w:val="00904F12"/>
    <w:rsid w:val="00905002"/>
    <w:rsid w:val="00905647"/>
    <w:rsid w:val="009058EF"/>
    <w:rsid w:val="00905BCB"/>
    <w:rsid w:val="00906A30"/>
    <w:rsid w:val="009074FE"/>
    <w:rsid w:val="0090795C"/>
    <w:rsid w:val="00910581"/>
    <w:rsid w:val="0091058D"/>
    <w:rsid w:val="00910CF0"/>
    <w:rsid w:val="00911BBE"/>
    <w:rsid w:val="00911EB6"/>
    <w:rsid w:val="009126EF"/>
    <w:rsid w:val="00912793"/>
    <w:rsid w:val="0091293C"/>
    <w:rsid w:val="00912BF4"/>
    <w:rsid w:val="00912D88"/>
    <w:rsid w:val="00912FD2"/>
    <w:rsid w:val="009134B3"/>
    <w:rsid w:val="009138E9"/>
    <w:rsid w:val="00913CF7"/>
    <w:rsid w:val="00913FF9"/>
    <w:rsid w:val="009143B7"/>
    <w:rsid w:val="00914A60"/>
    <w:rsid w:val="00914E62"/>
    <w:rsid w:val="00914F13"/>
    <w:rsid w:val="00914FB6"/>
    <w:rsid w:val="009159A1"/>
    <w:rsid w:val="00915A8C"/>
    <w:rsid w:val="00915BDA"/>
    <w:rsid w:val="00915C02"/>
    <w:rsid w:val="00915CA7"/>
    <w:rsid w:val="00916A89"/>
    <w:rsid w:val="00916B2D"/>
    <w:rsid w:val="00916ED3"/>
    <w:rsid w:val="009171D8"/>
    <w:rsid w:val="0091725E"/>
    <w:rsid w:val="009172B4"/>
    <w:rsid w:val="00917329"/>
    <w:rsid w:val="0091736B"/>
    <w:rsid w:val="0092043C"/>
    <w:rsid w:val="00920A12"/>
    <w:rsid w:val="00920EE7"/>
    <w:rsid w:val="00920F7D"/>
    <w:rsid w:val="009210D8"/>
    <w:rsid w:val="00921C87"/>
    <w:rsid w:val="00921D4B"/>
    <w:rsid w:val="0092285F"/>
    <w:rsid w:val="00922C72"/>
    <w:rsid w:val="00922C95"/>
    <w:rsid w:val="00922DFD"/>
    <w:rsid w:val="00923510"/>
    <w:rsid w:val="00923583"/>
    <w:rsid w:val="00923C07"/>
    <w:rsid w:val="00923C20"/>
    <w:rsid w:val="00923E1A"/>
    <w:rsid w:val="0092417D"/>
    <w:rsid w:val="0092455B"/>
    <w:rsid w:val="0092512B"/>
    <w:rsid w:val="00925191"/>
    <w:rsid w:val="0092519A"/>
    <w:rsid w:val="009253E0"/>
    <w:rsid w:val="0092571A"/>
    <w:rsid w:val="009258E1"/>
    <w:rsid w:val="00925AE4"/>
    <w:rsid w:val="00925B24"/>
    <w:rsid w:val="0092608C"/>
    <w:rsid w:val="0092621C"/>
    <w:rsid w:val="0092625C"/>
    <w:rsid w:val="009264DC"/>
    <w:rsid w:val="00926763"/>
    <w:rsid w:val="00926796"/>
    <w:rsid w:val="00926844"/>
    <w:rsid w:val="00926887"/>
    <w:rsid w:val="00926F0B"/>
    <w:rsid w:val="0092700D"/>
    <w:rsid w:val="00927089"/>
    <w:rsid w:val="00927331"/>
    <w:rsid w:val="00927709"/>
    <w:rsid w:val="0092793E"/>
    <w:rsid w:val="00927B15"/>
    <w:rsid w:val="00927CA7"/>
    <w:rsid w:val="00930338"/>
    <w:rsid w:val="00930491"/>
    <w:rsid w:val="0093052A"/>
    <w:rsid w:val="00930827"/>
    <w:rsid w:val="00930A53"/>
    <w:rsid w:val="00930B8B"/>
    <w:rsid w:val="00930DA2"/>
    <w:rsid w:val="00930DC7"/>
    <w:rsid w:val="00931168"/>
    <w:rsid w:val="00931212"/>
    <w:rsid w:val="0093127E"/>
    <w:rsid w:val="00931427"/>
    <w:rsid w:val="0093144E"/>
    <w:rsid w:val="009314D2"/>
    <w:rsid w:val="009316E7"/>
    <w:rsid w:val="0093204D"/>
    <w:rsid w:val="009322F1"/>
    <w:rsid w:val="00932500"/>
    <w:rsid w:val="00932543"/>
    <w:rsid w:val="00932633"/>
    <w:rsid w:val="00932875"/>
    <w:rsid w:val="00932983"/>
    <w:rsid w:val="00932DE7"/>
    <w:rsid w:val="00932F12"/>
    <w:rsid w:val="00933376"/>
    <w:rsid w:val="00933C22"/>
    <w:rsid w:val="00933E53"/>
    <w:rsid w:val="009340C8"/>
    <w:rsid w:val="0093436A"/>
    <w:rsid w:val="0093461C"/>
    <w:rsid w:val="009346D2"/>
    <w:rsid w:val="00934734"/>
    <w:rsid w:val="00934E33"/>
    <w:rsid w:val="00935339"/>
    <w:rsid w:val="00935C39"/>
    <w:rsid w:val="00935CF0"/>
    <w:rsid w:val="0093633C"/>
    <w:rsid w:val="00936D9F"/>
    <w:rsid w:val="0093707D"/>
    <w:rsid w:val="00937112"/>
    <w:rsid w:val="00937284"/>
    <w:rsid w:val="009372E4"/>
    <w:rsid w:val="009374E8"/>
    <w:rsid w:val="00937D44"/>
    <w:rsid w:val="0093A7E1"/>
    <w:rsid w:val="00940135"/>
    <w:rsid w:val="009402CF"/>
    <w:rsid w:val="009403AA"/>
    <w:rsid w:val="00940706"/>
    <w:rsid w:val="009409EF"/>
    <w:rsid w:val="00940C2B"/>
    <w:rsid w:val="00941471"/>
    <w:rsid w:val="0094181F"/>
    <w:rsid w:val="009418CF"/>
    <w:rsid w:val="00941C0D"/>
    <w:rsid w:val="00941F09"/>
    <w:rsid w:val="0094263B"/>
    <w:rsid w:val="009426CA"/>
    <w:rsid w:val="0094291E"/>
    <w:rsid w:val="00942B06"/>
    <w:rsid w:val="00942EBE"/>
    <w:rsid w:val="0094317F"/>
    <w:rsid w:val="0094372F"/>
    <w:rsid w:val="00944535"/>
    <w:rsid w:val="00944661"/>
    <w:rsid w:val="00944884"/>
    <w:rsid w:val="00944B15"/>
    <w:rsid w:val="00944B47"/>
    <w:rsid w:val="00944B5D"/>
    <w:rsid w:val="00944CEB"/>
    <w:rsid w:val="00944FEB"/>
    <w:rsid w:val="00945477"/>
    <w:rsid w:val="00945554"/>
    <w:rsid w:val="00945952"/>
    <w:rsid w:val="00945961"/>
    <w:rsid w:val="00945987"/>
    <w:rsid w:val="00945C25"/>
    <w:rsid w:val="00945CCC"/>
    <w:rsid w:val="00945DF4"/>
    <w:rsid w:val="00945E40"/>
    <w:rsid w:val="00945EA4"/>
    <w:rsid w:val="00946039"/>
    <w:rsid w:val="00946724"/>
    <w:rsid w:val="0094681C"/>
    <w:rsid w:val="00946E61"/>
    <w:rsid w:val="00946FBF"/>
    <w:rsid w:val="00947294"/>
    <w:rsid w:val="009473F7"/>
    <w:rsid w:val="00947685"/>
    <w:rsid w:val="0094798C"/>
    <w:rsid w:val="00947E98"/>
    <w:rsid w:val="009500CD"/>
    <w:rsid w:val="009500DC"/>
    <w:rsid w:val="0095088E"/>
    <w:rsid w:val="00950B3C"/>
    <w:rsid w:val="00950BC5"/>
    <w:rsid w:val="00950C6A"/>
    <w:rsid w:val="00950D71"/>
    <w:rsid w:val="0095100E"/>
    <w:rsid w:val="009514AD"/>
    <w:rsid w:val="00951635"/>
    <w:rsid w:val="009518A4"/>
    <w:rsid w:val="00951B31"/>
    <w:rsid w:val="00952574"/>
    <w:rsid w:val="009526B0"/>
    <w:rsid w:val="009529FF"/>
    <w:rsid w:val="00952A7E"/>
    <w:rsid w:val="0095356D"/>
    <w:rsid w:val="0095370E"/>
    <w:rsid w:val="00953A75"/>
    <w:rsid w:val="00953A81"/>
    <w:rsid w:val="00953B30"/>
    <w:rsid w:val="00953B85"/>
    <w:rsid w:val="00953D58"/>
    <w:rsid w:val="00954240"/>
    <w:rsid w:val="009543E9"/>
    <w:rsid w:val="0095465E"/>
    <w:rsid w:val="009547FB"/>
    <w:rsid w:val="00954963"/>
    <w:rsid w:val="009549D0"/>
    <w:rsid w:val="00954CE3"/>
    <w:rsid w:val="00954D2F"/>
    <w:rsid w:val="00954D8C"/>
    <w:rsid w:val="00955554"/>
    <w:rsid w:val="00955A2B"/>
    <w:rsid w:val="00956367"/>
    <w:rsid w:val="009567A6"/>
    <w:rsid w:val="0096007E"/>
    <w:rsid w:val="009601F2"/>
    <w:rsid w:val="00960E72"/>
    <w:rsid w:val="009611C9"/>
    <w:rsid w:val="0096138C"/>
    <w:rsid w:val="0096160D"/>
    <w:rsid w:val="00961702"/>
    <w:rsid w:val="00961714"/>
    <w:rsid w:val="00961788"/>
    <w:rsid w:val="009623AA"/>
    <w:rsid w:val="009624A1"/>
    <w:rsid w:val="00962842"/>
    <w:rsid w:val="00962874"/>
    <w:rsid w:val="00962AAB"/>
    <w:rsid w:val="00962AE9"/>
    <w:rsid w:val="009630D4"/>
    <w:rsid w:val="00963104"/>
    <w:rsid w:val="0096331F"/>
    <w:rsid w:val="00963539"/>
    <w:rsid w:val="0096368B"/>
    <w:rsid w:val="009637B2"/>
    <w:rsid w:val="009638E4"/>
    <w:rsid w:val="00963985"/>
    <w:rsid w:val="009639C9"/>
    <w:rsid w:val="00963C43"/>
    <w:rsid w:val="00963D86"/>
    <w:rsid w:val="009648E8"/>
    <w:rsid w:val="00964A39"/>
    <w:rsid w:val="00964C8B"/>
    <w:rsid w:val="00965386"/>
    <w:rsid w:val="00965E7A"/>
    <w:rsid w:val="00966670"/>
    <w:rsid w:val="00966724"/>
    <w:rsid w:val="00966726"/>
    <w:rsid w:val="00966728"/>
    <w:rsid w:val="009669F6"/>
    <w:rsid w:val="00966ABF"/>
    <w:rsid w:val="00966DF2"/>
    <w:rsid w:val="00966F0E"/>
    <w:rsid w:val="00967312"/>
    <w:rsid w:val="00967445"/>
    <w:rsid w:val="00967483"/>
    <w:rsid w:val="00967A40"/>
    <w:rsid w:val="00967D7D"/>
    <w:rsid w:val="0097040C"/>
    <w:rsid w:val="00970E0D"/>
    <w:rsid w:val="00971026"/>
    <w:rsid w:val="009715AE"/>
    <w:rsid w:val="00971E41"/>
    <w:rsid w:val="009728A9"/>
    <w:rsid w:val="009731D1"/>
    <w:rsid w:val="009731D6"/>
    <w:rsid w:val="0097322A"/>
    <w:rsid w:val="009733CD"/>
    <w:rsid w:val="00973512"/>
    <w:rsid w:val="009735D5"/>
    <w:rsid w:val="00973895"/>
    <w:rsid w:val="009738D2"/>
    <w:rsid w:val="00973C72"/>
    <w:rsid w:val="009742D5"/>
    <w:rsid w:val="00974367"/>
    <w:rsid w:val="00974430"/>
    <w:rsid w:val="009745C6"/>
    <w:rsid w:val="0097464A"/>
    <w:rsid w:val="00974662"/>
    <w:rsid w:val="009746DD"/>
    <w:rsid w:val="00974AE9"/>
    <w:rsid w:val="00974B7E"/>
    <w:rsid w:val="00974D14"/>
    <w:rsid w:val="00974ECD"/>
    <w:rsid w:val="009753DA"/>
    <w:rsid w:val="0097550D"/>
    <w:rsid w:val="00975EBB"/>
    <w:rsid w:val="0097623A"/>
    <w:rsid w:val="00976399"/>
    <w:rsid w:val="00976464"/>
    <w:rsid w:val="00976738"/>
    <w:rsid w:val="009768E3"/>
    <w:rsid w:val="0097694C"/>
    <w:rsid w:val="00976A17"/>
    <w:rsid w:val="00976B0B"/>
    <w:rsid w:val="00976C26"/>
    <w:rsid w:val="00976D88"/>
    <w:rsid w:val="009800C5"/>
    <w:rsid w:val="009804E5"/>
    <w:rsid w:val="00980794"/>
    <w:rsid w:val="00980ACB"/>
    <w:rsid w:val="00980D1A"/>
    <w:rsid w:val="009811D2"/>
    <w:rsid w:val="00981893"/>
    <w:rsid w:val="00981BA9"/>
    <w:rsid w:val="00981F36"/>
    <w:rsid w:val="00982031"/>
    <w:rsid w:val="00982037"/>
    <w:rsid w:val="00982196"/>
    <w:rsid w:val="00982299"/>
    <w:rsid w:val="00982339"/>
    <w:rsid w:val="009825A3"/>
    <w:rsid w:val="00982665"/>
    <w:rsid w:val="00982679"/>
    <w:rsid w:val="00982BC8"/>
    <w:rsid w:val="00982FE9"/>
    <w:rsid w:val="009834D2"/>
    <w:rsid w:val="00983709"/>
    <w:rsid w:val="00983DE1"/>
    <w:rsid w:val="00984302"/>
    <w:rsid w:val="009845C0"/>
    <w:rsid w:val="0098463E"/>
    <w:rsid w:val="00984812"/>
    <w:rsid w:val="00984CFC"/>
    <w:rsid w:val="00984EFD"/>
    <w:rsid w:val="009852E1"/>
    <w:rsid w:val="009853C4"/>
    <w:rsid w:val="009853F9"/>
    <w:rsid w:val="0098558B"/>
    <w:rsid w:val="00985677"/>
    <w:rsid w:val="00985CAE"/>
    <w:rsid w:val="00985DFA"/>
    <w:rsid w:val="00985FDD"/>
    <w:rsid w:val="0098601D"/>
    <w:rsid w:val="00986762"/>
    <w:rsid w:val="00986A05"/>
    <w:rsid w:val="00986B46"/>
    <w:rsid w:val="00986D44"/>
    <w:rsid w:val="0098768A"/>
    <w:rsid w:val="00987762"/>
    <w:rsid w:val="00987C8B"/>
    <w:rsid w:val="0099007E"/>
    <w:rsid w:val="0099060D"/>
    <w:rsid w:val="009906B1"/>
    <w:rsid w:val="009908DC"/>
    <w:rsid w:val="00990FD1"/>
    <w:rsid w:val="009912A2"/>
    <w:rsid w:val="0099139B"/>
    <w:rsid w:val="0099145C"/>
    <w:rsid w:val="00991C58"/>
    <w:rsid w:val="00991D06"/>
    <w:rsid w:val="009924A3"/>
    <w:rsid w:val="00992D77"/>
    <w:rsid w:val="00992D7A"/>
    <w:rsid w:val="00992F1E"/>
    <w:rsid w:val="00993045"/>
    <w:rsid w:val="0099323C"/>
    <w:rsid w:val="0099324D"/>
    <w:rsid w:val="00993884"/>
    <w:rsid w:val="00993C56"/>
    <w:rsid w:val="00993DE0"/>
    <w:rsid w:val="009949E2"/>
    <w:rsid w:val="00994A93"/>
    <w:rsid w:val="00994E39"/>
    <w:rsid w:val="009957AB"/>
    <w:rsid w:val="009958DB"/>
    <w:rsid w:val="009958F3"/>
    <w:rsid w:val="009959C0"/>
    <w:rsid w:val="00995AD2"/>
    <w:rsid w:val="00995D04"/>
    <w:rsid w:val="00996770"/>
    <w:rsid w:val="00996BA4"/>
    <w:rsid w:val="009971A8"/>
    <w:rsid w:val="009971B8"/>
    <w:rsid w:val="009971D8"/>
    <w:rsid w:val="00997471"/>
    <w:rsid w:val="0099750A"/>
    <w:rsid w:val="00997A95"/>
    <w:rsid w:val="00997E44"/>
    <w:rsid w:val="009A008B"/>
    <w:rsid w:val="009A0428"/>
    <w:rsid w:val="009A04CA"/>
    <w:rsid w:val="009A09A1"/>
    <w:rsid w:val="009A09AA"/>
    <w:rsid w:val="009A0AA8"/>
    <w:rsid w:val="009A1411"/>
    <w:rsid w:val="009A156B"/>
    <w:rsid w:val="009A2103"/>
    <w:rsid w:val="009A23FB"/>
    <w:rsid w:val="009A2541"/>
    <w:rsid w:val="009A270F"/>
    <w:rsid w:val="009A2759"/>
    <w:rsid w:val="009A278A"/>
    <w:rsid w:val="009A2B7B"/>
    <w:rsid w:val="009A2DB2"/>
    <w:rsid w:val="009A2DFF"/>
    <w:rsid w:val="009A330D"/>
    <w:rsid w:val="009A3943"/>
    <w:rsid w:val="009A3C33"/>
    <w:rsid w:val="009A3C35"/>
    <w:rsid w:val="009A41AA"/>
    <w:rsid w:val="009A4740"/>
    <w:rsid w:val="009A48B0"/>
    <w:rsid w:val="009A49D3"/>
    <w:rsid w:val="009A4A8C"/>
    <w:rsid w:val="009A5223"/>
    <w:rsid w:val="009A63C2"/>
    <w:rsid w:val="009A684B"/>
    <w:rsid w:val="009A6C26"/>
    <w:rsid w:val="009A71E6"/>
    <w:rsid w:val="009A799D"/>
    <w:rsid w:val="009A7BB4"/>
    <w:rsid w:val="009A7D87"/>
    <w:rsid w:val="009A7E05"/>
    <w:rsid w:val="009A7E37"/>
    <w:rsid w:val="009A7EDF"/>
    <w:rsid w:val="009B0092"/>
    <w:rsid w:val="009B0257"/>
    <w:rsid w:val="009B0270"/>
    <w:rsid w:val="009B04D8"/>
    <w:rsid w:val="009B0EE3"/>
    <w:rsid w:val="009B0FBA"/>
    <w:rsid w:val="009B0FD4"/>
    <w:rsid w:val="009B108C"/>
    <w:rsid w:val="009B16FA"/>
    <w:rsid w:val="009B22F0"/>
    <w:rsid w:val="009B26F9"/>
    <w:rsid w:val="009B270F"/>
    <w:rsid w:val="009B2B04"/>
    <w:rsid w:val="009B2D82"/>
    <w:rsid w:val="009B2DE8"/>
    <w:rsid w:val="009B3299"/>
    <w:rsid w:val="009B3417"/>
    <w:rsid w:val="009B394B"/>
    <w:rsid w:val="009B3AC7"/>
    <w:rsid w:val="009B3E13"/>
    <w:rsid w:val="009B3F57"/>
    <w:rsid w:val="009B3FEB"/>
    <w:rsid w:val="009B4418"/>
    <w:rsid w:val="009B454A"/>
    <w:rsid w:val="009B45A9"/>
    <w:rsid w:val="009B49D6"/>
    <w:rsid w:val="009B4AFE"/>
    <w:rsid w:val="009B4BBA"/>
    <w:rsid w:val="009B4EDB"/>
    <w:rsid w:val="009B52DC"/>
    <w:rsid w:val="009B56AE"/>
    <w:rsid w:val="009B56EB"/>
    <w:rsid w:val="009B57A5"/>
    <w:rsid w:val="009B594A"/>
    <w:rsid w:val="009B598C"/>
    <w:rsid w:val="009B5C80"/>
    <w:rsid w:val="009B5D40"/>
    <w:rsid w:val="009B5DDA"/>
    <w:rsid w:val="009B5FE3"/>
    <w:rsid w:val="009B65D6"/>
    <w:rsid w:val="009B69F3"/>
    <w:rsid w:val="009B6AD5"/>
    <w:rsid w:val="009B6B13"/>
    <w:rsid w:val="009B6D1B"/>
    <w:rsid w:val="009B74B6"/>
    <w:rsid w:val="009B77D6"/>
    <w:rsid w:val="009B7993"/>
    <w:rsid w:val="009B7B5A"/>
    <w:rsid w:val="009B7F68"/>
    <w:rsid w:val="009B7FDF"/>
    <w:rsid w:val="009C01D6"/>
    <w:rsid w:val="009C01E2"/>
    <w:rsid w:val="009C0A4D"/>
    <w:rsid w:val="009C0A8B"/>
    <w:rsid w:val="009C15BB"/>
    <w:rsid w:val="009C15F1"/>
    <w:rsid w:val="009C1831"/>
    <w:rsid w:val="009C1A63"/>
    <w:rsid w:val="009C1D0F"/>
    <w:rsid w:val="009C1FB6"/>
    <w:rsid w:val="009C237F"/>
    <w:rsid w:val="009C23D3"/>
    <w:rsid w:val="009C24AF"/>
    <w:rsid w:val="009C3170"/>
    <w:rsid w:val="009C3195"/>
    <w:rsid w:val="009C3CD1"/>
    <w:rsid w:val="009C3DAC"/>
    <w:rsid w:val="009C4ABE"/>
    <w:rsid w:val="009C4BC0"/>
    <w:rsid w:val="009C4EE2"/>
    <w:rsid w:val="009C53BF"/>
    <w:rsid w:val="009C5470"/>
    <w:rsid w:val="009C554E"/>
    <w:rsid w:val="009C591A"/>
    <w:rsid w:val="009C5B52"/>
    <w:rsid w:val="009C5D6D"/>
    <w:rsid w:val="009C5DBF"/>
    <w:rsid w:val="009C5E60"/>
    <w:rsid w:val="009C5EAE"/>
    <w:rsid w:val="009C6068"/>
    <w:rsid w:val="009C62CD"/>
    <w:rsid w:val="009C6613"/>
    <w:rsid w:val="009C666B"/>
    <w:rsid w:val="009C6D6F"/>
    <w:rsid w:val="009C6D90"/>
    <w:rsid w:val="009C74C2"/>
    <w:rsid w:val="009C77AB"/>
    <w:rsid w:val="009C7BB0"/>
    <w:rsid w:val="009C7DD1"/>
    <w:rsid w:val="009C7EFF"/>
    <w:rsid w:val="009D0352"/>
    <w:rsid w:val="009D06A8"/>
    <w:rsid w:val="009D0894"/>
    <w:rsid w:val="009D09CB"/>
    <w:rsid w:val="009D0BDD"/>
    <w:rsid w:val="009D0C39"/>
    <w:rsid w:val="009D0F90"/>
    <w:rsid w:val="009D13D3"/>
    <w:rsid w:val="009D1613"/>
    <w:rsid w:val="009D164C"/>
    <w:rsid w:val="009D1AD9"/>
    <w:rsid w:val="009D1D8C"/>
    <w:rsid w:val="009D1F39"/>
    <w:rsid w:val="009D2635"/>
    <w:rsid w:val="009D2798"/>
    <w:rsid w:val="009D390D"/>
    <w:rsid w:val="009D393A"/>
    <w:rsid w:val="009D3D81"/>
    <w:rsid w:val="009D3F72"/>
    <w:rsid w:val="009D41CD"/>
    <w:rsid w:val="009D4303"/>
    <w:rsid w:val="009D43C9"/>
    <w:rsid w:val="009D465A"/>
    <w:rsid w:val="009D4AAE"/>
    <w:rsid w:val="009D4C8B"/>
    <w:rsid w:val="009D4DDF"/>
    <w:rsid w:val="009D4F10"/>
    <w:rsid w:val="009D52E1"/>
    <w:rsid w:val="009D55F5"/>
    <w:rsid w:val="009D56FC"/>
    <w:rsid w:val="009D5B74"/>
    <w:rsid w:val="009D5C85"/>
    <w:rsid w:val="009D6864"/>
    <w:rsid w:val="009D6BD9"/>
    <w:rsid w:val="009D7033"/>
    <w:rsid w:val="009D7249"/>
    <w:rsid w:val="009E0387"/>
    <w:rsid w:val="009E095F"/>
    <w:rsid w:val="009E0B35"/>
    <w:rsid w:val="009E0F48"/>
    <w:rsid w:val="009E10DD"/>
    <w:rsid w:val="009E12DE"/>
    <w:rsid w:val="009E13C0"/>
    <w:rsid w:val="009E17D7"/>
    <w:rsid w:val="009E18A3"/>
    <w:rsid w:val="009E19E9"/>
    <w:rsid w:val="009E1C54"/>
    <w:rsid w:val="009E2409"/>
    <w:rsid w:val="009E2779"/>
    <w:rsid w:val="009E280F"/>
    <w:rsid w:val="009E290C"/>
    <w:rsid w:val="009E2BD5"/>
    <w:rsid w:val="009E303B"/>
    <w:rsid w:val="009E3542"/>
    <w:rsid w:val="009E3883"/>
    <w:rsid w:val="009E3DA7"/>
    <w:rsid w:val="009E3F45"/>
    <w:rsid w:val="009E3FC1"/>
    <w:rsid w:val="009E422F"/>
    <w:rsid w:val="009E435A"/>
    <w:rsid w:val="009E43DF"/>
    <w:rsid w:val="009E47E6"/>
    <w:rsid w:val="009E4C73"/>
    <w:rsid w:val="009E537E"/>
    <w:rsid w:val="009E53AB"/>
    <w:rsid w:val="009E5CB4"/>
    <w:rsid w:val="009E5D0E"/>
    <w:rsid w:val="009E5DE8"/>
    <w:rsid w:val="009E61D0"/>
    <w:rsid w:val="009E6A86"/>
    <w:rsid w:val="009E6E51"/>
    <w:rsid w:val="009E72AD"/>
    <w:rsid w:val="009E7F1E"/>
    <w:rsid w:val="009F0209"/>
    <w:rsid w:val="009F0241"/>
    <w:rsid w:val="009F05C7"/>
    <w:rsid w:val="009F07A6"/>
    <w:rsid w:val="009F0A18"/>
    <w:rsid w:val="009F0A37"/>
    <w:rsid w:val="009F0B65"/>
    <w:rsid w:val="009F15B2"/>
    <w:rsid w:val="009F1825"/>
    <w:rsid w:val="009F1901"/>
    <w:rsid w:val="009F1A64"/>
    <w:rsid w:val="009F1C31"/>
    <w:rsid w:val="009F1CD5"/>
    <w:rsid w:val="009F1FE5"/>
    <w:rsid w:val="009F21D0"/>
    <w:rsid w:val="009F21D9"/>
    <w:rsid w:val="009F2220"/>
    <w:rsid w:val="009F23D7"/>
    <w:rsid w:val="009F26E6"/>
    <w:rsid w:val="009F2BCA"/>
    <w:rsid w:val="009F313E"/>
    <w:rsid w:val="009F32C6"/>
    <w:rsid w:val="009F4113"/>
    <w:rsid w:val="009F42BB"/>
    <w:rsid w:val="009F43E5"/>
    <w:rsid w:val="009F45ED"/>
    <w:rsid w:val="009F4A9A"/>
    <w:rsid w:val="009F4FF1"/>
    <w:rsid w:val="009F511C"/>
    <w:rsid w:val="009F513F"/>
    <w:rsid w:val="009F588B"/>
    <w:rsid w:val="009F5903"/>
    <w:rsid w:val="009F5DFD"/>
    <w:rsid w:val="009F5E85"/>
    <w:rsid w:val="009F60A6"/>
    <w:rsid w:val="009F6124"/>
    <w:rsid w:val="009F661C"/>
    <w:rsid w:val="009F6B88"/>
    <w:rsid w:val="009F73EA"/>
    <w:rsid w:val="009F77C7"/>
    <w:rsid w:val="009F786E"/>
    <w:rsid w:val="009F78D7"/>
    <w:rsid w:val="009F7940"/>
    <w:rsid w:val="009F7C5A"/>
    <w:rsid w:val="009F7ECA"/>
    <w:rsid w:val="009F7FB4"/>
    <w:rsid w:val="00A00758"/>
    <w:rsid w:val="00A007D2"/>
    <w:rsid w:val="00A00B55"/>
    <w:rsid w:val="00A00C36"/>
    <w:rsid w:val="00A01486"/>
    <w:rsid w:val="00A0178D"/>
    <w:rsid w:val="00A01805"/>
    <w:rsid w:val="00A01D8E"/>
    <w:rsid w:val="00A01EC9"/>
    <w:rsid w:val="00A02003"/>
    <w:rsid w:val="00A0238E"/>
    <w:rsid w:val="00A023D3"/>
    <w:rsid w:val="00A023EF"/>
    <w:rsid w:val="00A02480"/>
    <w:rsid w:val="00A024D6"/>
    <w:rsid w:val="00A02567"/>
    <w:rsid w:val="00A029A6"/>
    <w:rsid w:val="00A03392"/>
    <w:rsid w:val="00A0346C"/>
    <w:rsid w:val="00A0349D"/>
    <w:rsid w:val="00A0379A"/>
    <w:rsid w:val="00A03E3D"/>
    <w:rsid w:val="00A04052"/>
    <w:rsid w:val="00A0423C"/>
    <w:rsid w:val="00A04407"/>
    <w:rsid w:val="00A04463"/>
    <w:rsid w:val="00A0502C"/>
    <w:rsid w:val="00A0505D"/>
    <w:rsid w:val="00A0534E"/>
    <w:rsid w:val="00A053A7"/>
    <w:rsid w:val="00A05F0C"/>
    <w:rsid w:val="00A061EB"/>
    <w:rsid w:val="00A06657"/>
    <w:rsid w:val="00A06D6D"/>
    <w:rsid w:val="00A07232"/>
    <w:rsid w:val="00A07603"/>
    <w:rsid w:val="00A0799C"/>
    <w:rsid w:val="00A07FEA"/>
    <w:rsid w:val="00A103CA"/>
    <w:rsid w:val="00A1043C"/>
    <w:rsid w:val="00A10EF4"/>
    <w:rsid w:val="00A114C3"/>
    <w:rsid w:val="00A11567"/>
    <w:rsid w:val="00A11AE0"/>
    <w:rsid w:val="00A11AFD"/>
    <w:rsid w:val="00A11B4F"/>
    <w:rsid w:val="00A11F1B"/>
    <w:rsid w:val="00A12155"/>
    <w:rsid w:val="00A1226C"/>
    <w:rsid w:val="00A122AE"/>
    <w:rsid w:val="00A122DC"/>
    <w:rsid w:val="00A12565"/>
    <w:rsid w:val="00A127F2"/>
    <w:rsid w:val="00A12C81"/>
    <w:rsid w:val="00A12CF6"/>
    <w:rsid w:val="00A12D11"/>
    <w:rsid w:val="00A12E25"/>
    <w:rsid w:val="00A12E71"/>
    <w:rsid w:val="00A131FA"/>
    <w:rsid w:val="00A13776"/>
    <w:rsid w:val="00A13DF8"/>
    <w:rsid w:val="00A13F8C"/>
    <w:rsid w:val="00A1405D"/>
    <w:rsid w:val="00A140B1"/>
    <w:rsid w:val="00A1431A"/>
    <w:rsid w:val="00A147BB"/>
    <w:rsid w:val="00A14D50"/>
    <w:rsid w:val="00A151FA"/>
    <w:rsid w:val="00A153B7"/>
    <w:rsid w:val="00A15514"/>
    <w:rsid w:val="00A1554A"/>
    <w:rsid w:val="00A155FE"/>
    <w:rsid w:val="00A159DB"/>
    <w:rsid w:val="00A15F25"/>
    <w:rsid w:val="00A164DC"/>
    <w:rsid w:val="00A16B27"/>
    <w:rsid w:val="00A16BBE"/>
    <w:rsid w:val="00A16D9C"/>
    <w:rsid w:val="00A170E7"/>
    <w:rsid w:val="00A17121"/>
    <w:rsid w:val="00A17426"/>
    <w:rsid w:val="00A17526"/>
    <w:rsid w:val="00A17B89"/>
    <w:rsid w:val="00A17D13"/>
    <w:rsid w:val="00A202EB"/>
    <w:rsid w:val="00A2037D"/>
    <w:rsid w:val="00A2071D"/>
    <w:rsid w:val="00A20E83"/>
    <w:rsid w:val="00A2136B"/>
    <w:rsid w:val="00A2143A"/>
    <w:rsid w:val="00A21714"/>
    <w:rsid w:val="00A21A5D"/>
    <w:rsid w:val="00A22380"/>
    <w:rsid w:val="00A2238E"/>
    <w:rsid w:val="00A223F9"/>
    <w:rsid w:val="00A224D9"/>
    <w:rsid w:val="00A2258F"/>
    <w:rsid w:val="00A22687"/>
    <w:rsid w:val="00A22733"/>
    <w:rsid w:val="00A229CC"/>
    <w:rsid w:val="00A22E2D"/>
    <w:rsid w:val="00A2301A"/>
    <w:rsid w:val="00A230F7"/>
    <w:rsid w:val="00A23281"/>
    <w:rsid w:val="00A2339B"/>
    <w:rsid w:val="00A234B3"/>
    <w:rsid w:val="00A236CD"/>
    <w:rsid w:val="00A2399F"/>
    <w:rsid w:val="00A23B24"/>
    <w:rsid w:val="00A23C10"/>
    <w:rsid w:val="00A23C7A"/>
    <w:rsid w:val="00A24846"/>
    <w:rsid w:val="00A24A6B"/>
    <w:rsid w:val="00A24C21"/>
    <w:rsid w:val="00A24DC7"/>
    <w:rsid w:val="00A24DCE"/>
    <w:rsid w:val="00A24E27"/>
    <w:rsid w:val="00A24ED6"/>
    <w:rsid w:val="00A25309"/>
    <w:rsid w:val="00A25586"/>
    <w:rsid w:val="00A2591E"/>
    <w:rsid w:val="00A2598D"/>
    <w:rsid w:val="00A25A4F"/>
    <w:rsid w:val="00A25A9D"/>
    <w:rsid w:val="00A260B0"/>
    <w:rsid w:val="00A26169"/>
    <w:rsid w:val="00A265D7"/>
    <w:rsid w:val="00A26600"/>
    <w:rsid w:val="00A266C4"/>
    <w:rsid w:val="00A267C1"/>
    <w:rsid w:val="00A26FFF"/>
    <w:rsid w:val="00A2746E"/>
    <w:rsid w:val="00A27B1D"/>
    <w:rsid w:val="00A305CC"/>
    <w:rsid w:val="00A30B46"/>
    <w:rsid w:val="00A31034"/>
    <w:rsid w:val="00A318BE"/>
    <w:rsid w:val="00A31C1A"/>
    <w:rsid w:val="00A31DA6"/>
    <w:rsid w:val="00A31DD8"/>
    <w:rsid w:val="00A31E35"/>
    <w:rsid w:val="00A32036"/>
    <w:rsid w:val="00A32074"/>
    <w:rsid w:val="00A326F6"/>
    <w:rsid w:val="00A32859"/>
    <w:rsid w:val="00A32A84"/>
    <w:rsid w:val="00A33398"/>
    <w:rsid w:val="00A336C9"/>
    <w:rsid w:val="00A33A11"/>
    <w:rsid w:val="00A33A56"/>
    <w:rsid w:val="00A343DB"/>
    <w:rsid w:val="00A3448A"/>
    <w:rsid w:val="00A346AE"/>
    <w:rsid w:val="00A34882"/>
    <w:rsid w:val="00A34A2E"/>
    <w:rsid w:val="00A34AAA"/>
    <w:rsid w:val="00A34B77"/>
    <w:rsid w:val="00A35991"/>
    <w:rsid w:val="00A35F3D"/>
    <w:rsid w:val="00A361E8"/>
    <w:rsid w:val="00A36723"/>
    <w:rsid w:val="00A36A31"/>
    <w:rsid w:val="00A36AC8"/>
    <w:rsid w:val="00A36B61"/>
    <w:rsid w:val="00A3723B"/>
    <w:rsid w:val="00A372D6"/>
    <w:rsid w:val="00A3736A"/>
    <w:rsid w:val="00A373AF"/>
    <w:rsid w:val="00A3746D"/>
    <w:rsid w:val="00A374E7"/>
    <w:rsid w:val="00A37894"/>
    <w:rsid w:val="00A40088"/>
    <w:rsid w:val="00A402CF"/>
    <w:rsid w:val="00A40300"/>
    <w:rsid w:val="00A4047C"/>
    <w:rsid w:val="00A40644"/>
    <w:rsid w:val="00A40730"/>
    <w:rsid w:val="00A4080E"/>
    <w:rsid w:val="00A4088C"/>
    <w:rsid w:val="00A408DD"/>
    <w:rsid w:val="00A414D9"/>
    <w:rsid w:val="00A41670"/>
    <w:rsid w:val="00A41E52"/>
    <w:rsid w:val="00A4207B"/>
    <w:rsid w:val="00A421DF"/>
    <w:rsid w:val="00A42969"/>
    <w:rsid w:val="00A434B6"/>
    <w:rsid w:val="00A4380C"/>
    <w:rsid w:val="00A43A21"/>
    <w:rsid w:val="00A444A0"/>
    <w:rsid w:val="00A44C04"/>
    <w:rsid w:val="00A4503F"/>
    <w:rsid w:val="00A4547A"/>
    <w:rsid w:val="00A4550D"/>
    <w:rsid w:val="00A45633"/>
    <w:rsid w:val="00A4587C"/>
    <w:rsid w:val="00A45D60"/>
    <w:rsid w:val="00A45D93"/>
    <w:rsid w:val="00A45DB7"/>
    <w:rsid w:val="00A465CA"/>
    <w:rsid w:val="00A46606"/>
    <w:rsid w:val="00A468ED"/>
    <w:rsid w:val="00A469CC"/>
    <w:rsid w:val="00A46C59"/>
    <w:rsid w:val="00A46D82"/>
    <w:rsid w:val="00A47035"/>
    <w:rsid w:val="00A4732F"/>
    <w:rsid w:val="00A474AB"/>
    <w:rsid w:val="00A476C4"/>
    <w:rsid w:val="00A476D3"/>
    <w:rsid w:val="00A47A9E"/>
    <w:rsid w:val="00A501DD"/>
    <w:rsid w:val="00A50454"/>
    <w:rsid w:val="00A50533"/>
    <w:rsid w:val="00A50FC3"/>
    <w:rsid w:val="00A51159"/>
    <w:rsid w:val="00A51171"/>
    <w:rsid w:val="00A5201A"/>
    <w:rsid w:val="00A521F0"/>
    <w:rsid w:val="00A52758"/>
    <w:rsid w:val="00A528D1"/>
    <w:rsid w:val="00A52A7C"/>
    <w:rsid w:val="00A52D74"/>
    <w:rsid w:val="00A531F0"/>
    <w:rsid w:val="00A5320C"/>
    <w:rsid w:val="00A534FD"/>
    <w:rsid w:val="00A53ABA"/>
    <w:rsid w:val="00A53F33"/>
    <w:rsid w:val="00A54B98"/>
    <w:rsid w:val="00A54BC0"/>
    <w:rsid w:val="00A54D0E"/>
    <w:rsid w:val="00A54D6C"/>
    <w:rsid w:val="00A54DBA"/>
    <w:rsid w:val="00A55476"/>
    <w:rsid w:val="00A555EB"/>
    <w:rsid w:val="00A558B3"/>
    <w:rsid w:val="00A55CBC"/>
    <w:rsid w:val="00A55FDB"/>
    <w:rsid w:val="00A56264"/>
    <w:rsid w:val="00A56332"/>
    <w:rsid w:val="00A564B2"/>
    <w:rsid w:val="00A565C1"/>
    <w:rsid w:val="00A56B35"/>
    <w:rsid w:val="00A56DC2"/>
    <w:rsid w:val="00A56F66"/>
    <w:rsid w:val="00A57076"/>
    <w:rsid w:val="00A57527"/>
    <w:rsid w:val="00A578C4"/>
    <w:rsid w:val="00A579BD"/>
    <w:rsid w:val="00A57CBE"/>
    <w:rsid w:val="00A57E37"/>
    <w:rsid w:val="00A60339"/>
    <w:rsid w:val="00A60458"/>
    <w:rsid w:val="00A6095A"/>
    <w:rsid w:val="00A60B5E"/>
    <w:rsid w:val="00A60E63"/>
    <w:rsid w:val="00A60E69"/>
    <w:rsid w:val="00A60ECC"/>
    <w:rsid w:val="00A61297"/>
    <w:rsid w:val="00A61489"/>
    <w:rsid w:val="00A616D1"/>
    <w:rsid w:val="00A616E1"/>
    <w:rsid w:val="00A6174D"/>
    <w:rsid w:val="00A61BB3"/>
    <w:rsid w:val="00A61D68"/>
    <w:rsid w:val="00A62298"/>
    <w:rsid w:val="00A627FB"/>
    <w:rsid w:val="00A62B5A"/>
    <w:rsid w:val="00A62B86"/>
    <w:rsid w:val="00A62BE1"/>
    <w:rsid w:val="00A62D28"/>
    <w:rsid w:val="00A62E7F"/>
    <w:rsid w:val="00A6355F"/>
    <w:rsid w:val="00A635F2"/>
    <w:rsid w:val="00A63786"/>
    <w:rsid w:val="00A63CFC"/>
    <w:rsid w:val="00A63EAC"/>
    <w:rsid w:val="00A63FEF"/>
    <w:rsid w:val="00A64295"/>
    <w:rsid w:val="00A646C1"/>
    <w:rsid w:val="00A64A13"/>
    <w:rsid w:val="00A64BC7"/>
    <w:rsid w:val="00A64E01"/>
    <w:rsid w:val="00A6534A"/>
    <w:rsid w:val="00A6551F"/>
    <w:rsid w:val="00A65BA0"/>
    <w:rsid w:val="00A665A2"/>
    <w:rsid w:val="00A6684E"/>
    <w:rsid w:val="00A66B0B"/>
    <w:rsid w:val="00A6738E"/>
    <w:rsid w:val="00A6739D"/>
    <w:rsid w:val="00A673CE"/>
    <w:rsid w:val="00A6740D"/>
    <w:rsid w:val="00A675DE"/>
    <w:rsid w:val="00A676C8"/>
    <w:rsid w:val="00A67ABB"/>
    <w:rsid w:val="00A67AFF"/>
    <w:rsid w:val="00A67DBE"/>
    <w:rsid w:val="00A700B8"/>
    <w:rsid w:val="00A703F4"/>
    <w:rsid w:val="00A7042A"/>
    <w:rsid w:val="00A71300"/>
    <w:rsid w:val="00A7178E"/>
    <w:rsid w:val="00A71984"/>
    <w:rsid w:val="00A71A56"/>
    <w:rsid w:val="00A71DFF"/>
    <w:rsid w:val="00A71ED2"/>
    <w:rsid w:val="00A721DA"/>
    <w:rsid w:val="00A7223A"/>
    <w:rsid w:val="00A72590"/>
    <w:rsid w:val="00A7265D"/>
    <w:rsid w:val="00A727AD"/>
    <w:rsid w:val="00A72A88"/>
    <w:rsid w:val="00A7302F"/>
    <w:rsid w:val="00A73036"/>
    <w:rsid w:val="00A730F2"/>
    <w:rsid w:val="00A7310B"/>
    <w:rsid w:val="00A738C6"/>
    <w:rsid w:val="00A73917"/>
    <w:rsid w:val="00A74ABD"/>
    <w:rsid w:val="00A74DC7"/>
    <w:rsid w:val="00A7567D"/>
    <w:rsid w:val="00A758D4"/>
    <w:rsid w:val="00A7596B"/>
    <w:rsid w:val="00A75B91"/>
    <w:rsid w:val="00A75BDF"/>
    <w:rsid w:val="00A76156"/>
    <w:rsid w:val="00A764CE"/>
    <w:rsid w:val="00A766E6"/>
    <w:rsid w:val="00A76925"/>
    <w:rsid w:val="00A76AF0"/>
    <w:rsid w:val="00A76FA6"/>
    <w:rsid w:val="00A770B7"/>
    <w:rsid w:val="00A77412"/>
    <w:rsid w:val="00A774C2"/>
    <w:rsid w:val="00A7763E"/>
    <w:rsid w:val="00A77740"/>
    <w:rsid w:val="00A77C76"/>
    <w:rsid w:val="00A77E6B"/>
    <w:rsid w:val="00A800AD"/>
    <w:rsid w:val="00A800C7"/>
    <w:rsid w:val="00A801C9"/>
    <w:rsid w:val="00A80308"/>
    <w:rsid w:val="00A8045C"/>
    <w:rsid w:val="00A80DA7"/>
    <w:rsid w:val="00A80ED5"/>
    <w:rsid w:val="00A8149D"/>
    <w:rsid w:val="00A8152A"/>
    <w:rsid w:val="00A81736"/>
    <w:rsid w:val="00A81C2D"/>
    <w:rsid w:val="00A81E50"/>
    <w:rsid w:val="00A8233D"/>
    <w:rsid w:val="00A82407"/>
    <w:rsid w:val="00A824E2"/>
    <w:rsid w:val="00A8252A"/>
    <w:rsid w:val="00A82621"/>
    <w:rsid w:val="00A82DC7"/>
    <w:rsid w:val="00A82FC8"/>
    <w:rsid w:val="00A83202"/>
    <w:rsid w:val="00A83254"/>
    <w:rsid w:val="00A83EC5"/>
    <w:rsid w:val="00A84112"/>
    <w:rsid w:val="00A847C1"/>
    <w:rsid w:val="00A84C3A"/>
    <w:rsid w:val="00A84C63"/>
    <w:rsid w:val="00A84CD4"/>
    <w:rsid w:val="00A84E24"/>
    <w:rsid w:val="00A851DE"/>
    <w:rsid w:val="00A852D4"/>
    <w:rsid w:val="00A85773"/>
    <w:rsid w:val="00A85DA7"/>
    <w:rsid w:val="00A85EFA"/>
    <w:rsid w:val="00A86635"/>
    <w:rsid w:val="00A866C2"/>
    <w:rsid w:val="00A867AA"/>
    <w:rsid w:val="00A86C34"/>
    <w:rsid w:val="00A870A0"/>
    <w:rsid w:val="00A877BD"/>
    <w:rsid w:val="00A878A0"/>
    <w:rsid w:val="00A87A0E"/>
    <w:rsid w:val="00A87A9E"/>
    <w:rsid w:val="00A90469"/>
    <w:rsid w:val="00A90BEF"/>
    <w:rsid w:val="00A915B6"/>
    <w:rsid w:val="00A9168B"/>
    <w:rsid w:val="00A918F2"/>
    <w:rsid w:val="00A91B20"/>
    <w:rsid w:val="00A91E02"/>
    <w:rsid w:val="00A91E75"/>
    <w:rsid w:val="00A91F3A"/>
    <w:rsid w:val="00A9214B"/>
    <w:rsid w:val="00A924AD"/>
    <w:rsid w:val="00A92CA6"/>
    <w:rsid w:val="00A93183"/>
    <w:rsid w:val="00A93385"/>
    <w:rsid w:val="00A936BB"/>
    <w:rsid w:val="00A93F94"/>
    <w:rsid w:val="00A94058"/>
    <w:rsid w:val="00A9427F"/>
    <w:rsid w:val="00A942F5"/>
    <w:rsid w:val="00A94C72"/>
    <w:rsid w:val="00A95286"/>
    <w:rsid w:val="00A95AB4"/>
    <w:rsid w:val="00A95AF5"/>
    <w:rsid w:val="00A95B91"/>
    <w:rsid w:val="00A95C00"/>
    <w:rsid w:val="00A95E9D"/>
    <w:rsid w:val="00A9609D"/>
    <w:rsid w:val="00A96785"/>
    <w:rsid w:val="00A967DA"/>
    <w:rsid w:val="00A96849"/>
    <w:rsid w:val="00A96A14"/>
    <w:rsid w:val="00A96D0C"/>
    <w:rsid w:val="00A9715E"/>
    <w:rsid w:val="00A975B4"/>
    <w:rsid w:val="00A97938"/>
    <w:rsid w:val="00A9793C"/>
    <w:rsid w:val="00A97C72"/>
    <w:rsid w:val="00A97FC3"/>
    <w:rsid w:val="00AA006D"/>
    <w:rsid w:val="00AA02DA"/>
    <w:rsid w:val="00AA14D4"/>
    <w:rsid w:val="00AA16D2"/>
    <w:rsid w:val="00AA19E6"/>
    <w:rsid w:val="00AA1EC7"/>
    <w:rsid w:val="00AA2082"/>
    <w:rsid w:val="00AA237D"/>
    <w:rsid w:val="00AA2B12"/>
    <w:rsid w:val="00AA2C2E"/>
    <w:rsid w:val="00AA2C80"/>
    <w:rsid w:val="00AA2FFF"/>
    <w:rsid w:val="00AA382C"/>
    <w:rsid w:val="00AA3884"/>
    <w:rsid w:val="00AA3B89"/>
    <w:rsid w:val="00AA4122"/>
    <w:rsid w:val="00AA4583"/>
    <w:rsid w:val="00AA4C68"/>
    <w:rsid w:val="00AA4D9A"/>
    <w:rsid w:val="00AA4F3D"/>
    <w:rsid w:val="00AA57F7"/>
    <w:rsid w:val="00AA583E"/>
    <w:rsid w:val="00AA5A57"/>
    <w:rsid w:val="00AA635E"/>
    <w:rsid w:val="00AA63EC"/>
    <w:rsid w:val="00AA63FE"/>
    <w:rsid w:val="00AA6C9B"/>
    <w:rsid w:val="00AA7008"/>
    <w:rsid w:val="00AA71C5"/>
    <w:rsid w:val="00AA71CC"/>
    <w:rsid w:val="00AA751C"/>
    <w:rsid w:val="00AA763D"/>
    <w:rsid w:val="00AA7719"/>
    <w:rsid w:val="00AA7A02"/>
    <w:rsid w:val="00AA7AB5"/>
    <w:rsid w:val="00AA7B3E"/>
    <w:rsid w:val="00AA7C71"/>
    <w:rsid w:val="00AA7E10"/>
    <w:rsid w:val="00AB00D8"/>
    <w:rsid w:val="00AB02E2"/>
    <w:rsid w:val="00AB12A3"/>
    <w:rsid w:val="00AB12F7"/>
    <w:rsid w:val="00AB13FD"/>
    <w:rsid w:val="00AB1515"/>
    <w:rsid w:val="00AB1543"/>
    <w:rsid w:val="00AB1836"/>
    <w:rsid w:val="00AB1CBB"/>
    <w:rsid w:val="00AB1E39"/>
    <w:rsid w:val="00AB1F9B"/>
    <w:rsid w:val="00AB2850"/>
    <w:rsid w:val="00AB2D80"/>
    <w:rsid w:val="00AB2FF9"/>
    <w:rsid w:val="00AB3394"/>
    <w:rsid w:val="00AB37D8"/>
    <w:rsid w:val="00AB3825"/>
    <w:rsid w:val="00AB3C90"/>
    <w:rsid w:val="00AB3F97"/>
    <w:rsid w:val="00AB4219"/>
    <w:rsid w:val="00AB4552"/>
    <w:rsid w:val="00AB478F"/>
    <w:rsid w:val="00AB48B1"/>
    <w:rsid w:val="00AB4AD2"/>
    <w:rsid w:val="00AB5124"/>
    <w:rsid w:val="00AB5223"/>
    <w:rsid w:val="00AB5298"/>
    <w:rsid w:val="00AB57BF"/>
    <w:rsid w:val="00AB5C31"/>
    <w:rsid w:val="00AB5E41"/>
    <w:rsid w:val="00AB5E5C"/>
    <w:rsid w:val="00AB6046"/>
    <w:rsid w:val="00AB6155"/>
    <w:rsid w:val="00AB617F"/>
    <w:rsid w:val="00AB624E"/>
    <w:rsid w:val="00AB6251"/>
    <w:rsid w:val="00AB66D1"/>
    <w:rsid w:val="00AB6E60"/>
    <w:rsid w:val="00AB70D2"/>
    <w:rsid w:val="00AB7145"/>
    <w:rsid w:val="00AB7386"/>
    <w:rsid w:val="00AB79A4"/>
    <w:rsid w:val="00AB7EE3"/>
    <w:rsid w:val="00AB7F60"/>
    <w:rsid w:val="00AC02FA"/>
    <w:rsid w:val="00AC046C"/>
    <w:rsid w:val="00AC072F"/>
    <w:rsid w:val="00AC0C91"/>
    <w:rsid w:val="00AC0CA0"/>
    <w:rsid w:val="00AC12A7"/>
    <w:rsid w:val="00AC1ACD"/>
    <w:rsid w:val="00AC1E04"/>
    <w:rsid w:val="00AC1F4C"/>
    <w:rsid w:val="00AC22A5"/>
    <w:rsid w:val="00AC24D6"/>
    <w:rsid w:val="00AC2688"/>
    <w:rsid w:val="00AC2791"/>
    <w:rsid w:val="00AC27FB"/>
    <w:rsid w:val="00AC2A81"/>
    <w:rsid w:val="00AC2B97"/>
    <w:rsid w:val="00AC2C2A"/>
    <w:rsid w:val="00AC2D3A"/>
    <w:rsid w:val="00AC3369"/>
    <w:rsid w:val="00AC3540"/>
    <w:rsid w:val="00AC35F3"/>
    <w:rsid w:val="00AC39C0"/>
    <w:rsid w:val="00AC3A88"/>
    <w:rsid w:val="00AC3AD0"/>
    <w:rsid w:val="00AC3BAE"/>
    <w:rsid w:val="00AC3BE0"/>
    <w:rsid w:val="00AC4175"/>
    <w:rsid w:val="00AC4555"/>
    <w:rsid w:val="00AC4716"/>
    <w:rsid w:val="00AC4B52"/>
    <w:rsid w:val="00AC4CA1"/>
    <w:rsid w:val="00AC4F38"/>
    <w:rsid w:val="00AC52D8"/>
    <w:rsid w:val="00AC53E9"/>
    <w:rsid w:val="00AC5669"/>
    <w:rsid w:val="00AC568F"/>
    <w:rsid w:val="00AC5C31"/>
    <w:rsid w:val="00AC617E"/>
    <w:rsid w:val="00AC633A"/>
    <w:rsid w:val="00AC67CA"/>
    <w:rsid w:val="00AC69FA"/>
    <w:rsid w:val="00AC6A81"/>
    <w:rsid w:val="00AC6FFE"/>
    <w:rsid w:val="00AC717A"/>
    <w:rsid w:val="00AC77BB"/>
    <w:rsid w:val="00AD0004"/>
    <w:rsid w:val="00AD0310"/>
    <w:rsid w:val="00AD05F8"/>
    <w:rsid w:val="00AD0A29"/>
    <w:rsid w:val="00AD15D4"/>
    <w:rsid w:val="00AD2071"/>
    <w:rsid w:val="00AD221E"/>
    <w:rsid w:val="00AD23A4"/>
    <w:rsid w:val="00AD25A1"/>
    <w:rsid w:val="00AD260E"/>
    <w:rsid w:val="00AD2C82"/>
    <w:rsid w:val="00AD2F77"/>
    <w:rsid w:val="00AD2FE2"/>
    <w:rsid w:val="00AD339C"/>
    <w:rsid w:val="00AD3C5E"/>
    <w:rsid w:val="00AD3C61"/>
    <w:rsid w:val="00AD3E8B"/>
    <w:rsid w:val="00AD3F02"/>
    <w:rsid w:val="00AD40AA"/>
    <w:rsid w:val="00AD429D"/>
    <w:rsid w:val="00AD44DE"/>
    <w:rsid w:val="00AD4521"/>
    <w:rsid w:val="00AD4632"/>
    <w:rsid w:val="00AD4BA8"/>
    <w:rsid w:val="00AD4C37"/>
    <w:rsid w:val="00AD50D9"/>
    <w:rsid w:val="00AD5469"/>
    <w:rsid w:val="00AD5851"/>
    <w:rsid w:val="00AD5BBB"/>
    <w:rsid w:val="00AD5BF1"/>
    <w:rsid w:val="00AD5C65"/>
    <w:rsid w:val="00AD5FDF"/>
    <w:rsid w:val="00AD673E"/>
    <w:rsid w:val="00AD69BE"/>
    <w:rsid w:val="00AD6B0B"/>
    <w:rsid w:val="00AD73F2"/>
    <w:rsid w:val="00AD75D8"/>
    <w:rsid w:val="00AE00F2"/>
    <w:rsid w:val="00AE0201"/>
    <w:rsid w:val="00AE06D9"/>
    <w:rsid w:val="00AE098E"/>
    <w:rsid w:val="00AE0A14"/>
    <w:rsid w:val="00AE0F48"/>
    <w:rsid w:val="00AE12CE"/>
    <w:rsid w:val="00AE17F8"/>
    <w:rsid w:val="00AE1AFC"/>
    <w:rsid w:val="00AE205B"/>
    <w:rsid w:val="00AE21B7"/>
    <w:rsid w:val="00AE28E1"/>
    <w:rsid w:val="00AE2A63"/>
    <w:rsid w:val="00AE2C1D"/>
    <w:rsid w:val="00AE2F50"/>
    <w:rsid w:val="00AE3042"/>
    <w:rsid w:val="00AE3149"/>
    <w:rsid w:val="00AE324B"/>
    <w:rsid w:val="00AE39D8"/>
    <w:rsid w:val="00AE3AEB"/>
    <w:rsid w:val="00AE429E"/>
    <w:rsid w:val="00AE442D"/>
    <w:rsid w:val="00AE444A"/>
    <w:rsid w:val="00AE444F"/>
    <w:rsid w:val="00AE4620"/>
    <w:rsid w:val="00AE47B2"/>
    <w:rsid w:val="00AE4A9B"/>
    <w:rsid w:val="00AE4FFA"/>
    <w:rsid w:val="00AE5141"/>
    <w:rsid w:val="00AE5266"/>
    <w:rsid w:val="00AE545A"/>
    <w:rsid w:val="00AE5664"/>
    <w:rsid w:val="00AE5874"/>
    <w:rsid w:val="00AE59AE"/>
    <w:rsid w:val="00AE5AFB"/>
    <w:rsid w:val="00AE5E0A"/>
    <w:rsid w:val="00AE5FD1"/>
    <w:rsid w:val="00AE637C"/>
    <w:rsid w:val="00AE6C52"/>
    <w:rsid w:val="00AE701F"/>
    <w:rsid w:val="00AE73A6"/>
    <w:rsid w:val="00AE7855"/>
    <w:rsid w:val="00AE7BB6"/>
    <w:rsid w:val="00AF048C"/>
    <w:rsid w:val="00AF064B"/>
    <w:rsid w:val="00AF09B5"/>
    <w:rsid w:val="00AF0D56"/>
    <w:rsid w:val="00AF0FE9"/>
    <w:rsid w:val="00AF1090"/>
    <w:rsid w:val="00AF11DB"/>
    <w:rsid w:val="00AF19DC"/>
    <w:rsid w:val="00AF1D77"/>
    <w:rsid w:val="00AF20B7"/>
    <w:rsid w:val="00AF26A3"/>
    <w:rsid w:val="00AF26FF"/>
    <w:rsid w:val="00AF2A2F"/>
    <w:rsid w:val="00AF2A95"/>
    <w:rsid w:val="00AF2DBA"/>
    <w:rsid w:val="00AF31B6"/>
    <w:rsid w:val="00AF31DF"/>
    <w:rsid w:val="00AF32DC"/>
    <w:rsid w:val="00AF35EB"/>
    <w:rsid w:val="00AF36D0"/>
    <w:rsid w:val="00AF37AF"/>
    <w:rsid w:val="00AF3A54"/>
    <w:rsid w:val="00AF3B35"/>
    <w:rsid w:val="00AF3DE2"/>
    <w:rsid w:val="00AF3F02"/>
    <w:rsid w:val="00AF41A2"/>
    <w:rsid w:val="00AF45DA"/>
    <w:rsid w:val="00AF4659"/>
    <w:rsid w:val="00AF46E3"/>
    <w:rsid w:val="00AF4863"/>
    <w:rsid w:val="00AF4D33"/>
    <w:rsid w:val="00AF4E9B"/>
    <w:rsid w:val="00AF525B"/>
    <w:rsid w:val="00AF52BC"/>
    <w:rsid w:val="00AF56B5"/>
    <w:rsid w:val="00AF59D6"/>
    <w:rsid w:val="00AF5C08"/>
    <w:rsid w:val="00AF5F2A"/>
    <w:rsid w:val="00AF6441"/>
    <w:rsid w:val="00AF66E1"/>
    <w:rsid w:val="00AF6898"/>
    <w:rsid w:val="00AF6F09"/>
    <w:rsid w:val="00AF70C0"/>
    <w:rsid w:val="00AF72A3"/>
    <w:rsid w:val="00AF7508"/>
    <w:rsid w:val="00AF769A"/>
    <w:rsid w:val="00AF76C0"/>
    <w:rsid w:val="00AF7E69"/>
    <w:rsid w:val="00B00270"/>
    <w:rsid w:val="00B00323"/>
    <w:rsid w:val="00B003FB"/>
    <w:rsid w:val="00B004A7"/>
    <w:rsid w:val="00B00707"/>
    <w:rsid w:val="00B00A11"/>
    <w:rsid w:val="00B00CB9"/>
    <w:rsid w:val="00B01079"/>
    <w:rsid w:val="00B01307"/>
    <w:rsid w:val="00B01927"/>
    <w:rsid w:val="00B01A2A"/>
    <w:rsid w:val="00B01BAF"/>
    <w:rsid w:val="00B01F89"/>
    <w:rsid w:val="00B02D6E"/>
    <w:rsid w:val="00B02D8C"/>
    <w:rsid w:val="00B034CD"/>
    <w:rsid w:val="00B03577"/>
    <w:rsid w:val="00B0358F"/>
    <w:rsid w:val="00B036A9"/>
    <w:rsid w:val="00B03A22"/>
    <w:rsid w:val="00B03C78"/>
    <w:rsid w:val="00B03D8A"/>
    <w:rsid w:val="00B041FF"/>
    <w:rsid w:val="00B04A6A"/>
    <w:rsid w:val="00B04D73"/>
    <w:rsid w:val="00B04DB0"/>
    <w:rsid w:val="00B0515D"/>
    <w:rsid w:val="00B054B5"/>
    <w:rsid w:val="00B05845"/>
    <w:rsid w:val="00B05C18"/>
    <w:rsid w:val="00B05D84"/>
    <w:rsid w:val="00B05E6A"/>
    <w:rsid w:val="00B06660"/>
    <w:rsid w:val="00B06947"/>
    <w:rsid w:val="00B06A24"/>
    <w:rsid w:val="00B06C5D"/>
    <w:rsid w:val="00B06EA2"/>
    <w:rsid w:val="00B06F0C"/>
    <w:rsid w:val="00B07136"/>
    <w:rsid w:val="00B072B8"/>
    <w:rsid w:val="00B072D1"/>
    <w:rsid w:val="00B078C8"/>
    <w:rsid w:val="00B07955"/>
    <w:rsid w:val="00B07A25"/>
    <w:rsid w:val="00B07AC3"/>
    <w:rsid w:val="00B07AF1"/>
    <w:rsid w:val="00B07B05"/>
    <w:rsid w:val="00B07B5E"/>
    <w:rsid w:val="00B07D58"/>
    <w:rsid w:val="00B07E8B"/>
    <w:rsid w:val="00B100B8"/>
    <w:rsid w:val="00B103AD"/>
    <w:rsid w:val="00B105EF"/>
    <w:rsid w:val="00B1064A"/>
    <w:rsid w:val="00B10E11"/>
    <w:rsid w:val="00B10EA4"/>
    <w:rsid w:val="00B1130A"/>
    <w:rsid w:val="00B11369"/>
    <w:rsid w:val="00B115B4"/>
    <w:rsid w:val="00B11643"/>
    <w:rsid w:val="00B116BA"/>
    <w:rsid w:val="00B116F1"/>
    <w:rsid w:val="00B11D2F"/>
    <w:rsid w:val="00B11D9D"/>
    <w:rsid w:val="00B11E94"/>
    <w:rsid w:val="00B1200C"/>
    <w:rsid w:val="00B120FE"/>
    <w:rsid w:val="00B12201"/>
    <w:rsid w:val="00B12292"/>
    <w:rsid w:val="00B125C6"/>
    <w:rsid w:val="00B12672"/>
    <w:rsid w:val="00B1274D"/>
    <w:rsid w:val="00B146BF"/>
    <w:rsid w:val="00B14A0A"/>
    <w:rsid w:val="00B14BF0"/>
    <w:rsid w:val="00B15AE1"/>
    <w:rsid w:val="00B15BBB"/>
    <w:rsid w:val="00B15C55"/>
    <w:rsid w:val="00B162A6"/>
    <w:rsid w:val="00B167E3"/>
    <w:rsid w:val="00B16B33"/>
    <w:rsid w:val="00B16BAC"/>
    <w:rsid w:val="00B16C25"/>
    <w:rsid w:val="00B17421"/>
    <w:rsid w:val="00B17553"/>
    <w:rsid w:val="00B1761B"/>
    <w:rsid w:val="00B17745"/>
    <w:rsid w:val="00B17C77"/>
    <w:rsid w:val="00B20096"/>
    <w:rsid w:val="00B20278"/>
    <w:rsid w:val="00B204EE"/>
    <w:rsid w:val="00B20569"/>
    <w:rsid w:val="00B20990"/>
    <w:rsid w:val="00B21374"/>
    <w:rsid w:val="00B215FB"/>
    <w:rsid w:val="00B21C03"/>
    <w:rsid w:val="00B21FDF"/>
    <w:rsid w:val="00B222D9"/>
    <w:rsid w:val="00B2263A"/>
    <w:rsid w:val="00B228BD"/>
    <w:rsid w:val="00B22AAA"/>
    <w:rsid w:val="00B22DE4"/>
    <w:rsid w:val="00B22F06"/>
    <w:rsid w:val="00B2309B"/>
    <w:rsid w:val="00B237AD"/>
    <w:rsid w:val="00B23C9A"/>
    <w:rsid w:val="00B23DAB"/>
    <w:rsid w:val="00B242F0"/>
    <w:rsid w:val="00B2492F"/>
    <w:rsid w:val="00B249CB"/>
    <w:rsid w:val="00B24B11"/>
    <w:rsid w:val="00B2508B"/>
    <w:rsid w:val="00B2578F"/>
    <w:rsid w:val="00B25C09"/>
    <w:rsid w:val="00B25CE3"/>
    <w:rsid w:val="00B265A9"/>
    <w:rsid w:val="00B26A68"/>
    <w:rsid w:val="00B26CEF"/>
    <w:rsid w:val="00B27179"/>
    <w:rsid w:val="00B27284"/>
    <w:rsid w:val="00B272A8"/>
    <w:rsid w:val="00B27397"/>
    <w:rsid w:val="00B27A44"/>
    <w:rsid w:val="00B27B97"/>
    <w:rsid w:val="00B27D0D"/>
    <w:rsid w:val="00B27D4C"/>
    <w:rsid w:val="00B30189"/>
    <w:rsid w:val="00B30197"/>
    <w:rsid w:val="00B30ACA"/>
    <w:rsid w:val="00B30AD3"/>
    <w:rsid w:val="00B3116D"/>
    <w:rsid w:val="00B312DD"/>
    <w:rsid w:val="00B31756"/>
    <w:rsid w:val="00B31B4B"/>
    <w:rsid w:val="00B3247E"/>
    <w:rsid w:val="00B3252C"/>
    <w:rsid w:val="00B32A74"/>
    <w:rsid w:val="00B32C84"/>
    <w:rsid w:val="00B32DBF"/>
    <w:rsid w:val="00B3322B"/>
    <w:rsid w:val="00B3325B"/>
    <w:rsid w:val="00B33401"/>
    <w:rsid w:val="00B3363A"/>
    <w:rsid w:val="00B337DF"/>
    <w:rsid w:val="00B339AD"/>
    <w:rsid w:val="00B33EB5"/>
    <w:rsid w:val="00B33FBA"/>
    <w:rsid w:val="00B342DA"/>
    <w:rsid w:val="00B347FE"/>
    <w:rsid w:val="00B348D6"/>
    <w:rsid w:val="00B348FB"/>
    <w:rsid w:val="00B34E09"/>
    <w:rsid w:val="00B34F09"/>
    <w:rsid w:val="00B35040"/>
    <w:rsid w:val="00B35217"/>
    <w:rsid w:val="00B352F4"/>
    <w:rsid w:val="00B353EF"/>
    <w:rsid w:val="00B3569C"/>
    <w:rsid w:val="00B35882"/>
    <w:rsid w:val="00B359ED"/>
    <w:rsid w:val="00B35A66"/>
    <w:rsid w:val="00B35BE9"/>
    <w:rsid w:val="00B35FAE"/>
    <w:rsid w:val="00B36542"/>
    <w:rsid w:val="00B3669C"/>
    <w:rsid w:val="00B366BA"/>
    <w:rsid w:val="00B368B6"/>
    <w:rsid w:val="00B368CC"/>
    <w:rsid w:val="00B36C47"/>
    <w:rsid w:val="00B36D0E"/>
    <w:rsid w:val="00B36FA3"/>
    <w:rsid w:val="00B3749D"/>
    <w:rsid w:val="00B37969"/>
    <w:rsid w:val="00B37FB0"/>
    <w:rsid w:val="00B403DB"/>
    <w:rsid w:val="00B40527"/>
    <w:rsid w:val="00B408E6"/>
    <w:rsid w:val="00B40CAF"/>
    <w:rsid w:val="00B4128B"/>
    <w:rsid w:val="00B4134B"/>
    <w:rsid w:val="00B41F56"/>
    <w:rsid w:val="00B41FA0"/>
    <w:rsid w:val="00B42015"/>
    <w:rsid w:val="00B422DB"/>
    <w:rsid w:val="00B42388"/>
    <w:rsid w:val="00B429C9"/>
    <w:rsid w:val="00B42DC7"/>
    <w:rsid w:val="00B439D5"/>
    <w:rsid w:val="00B43C57"/>
    <w:rsid w:val="00B440E2"/>
    <w:rsid w:val="00B44594"/>
    <w:rsid w:val="00B45169"/>
    <w:rsid w:val="00B455B1"/>
    <w:rsid w:val="00B45726"/>
    <w:rsid w:val="00B458E7"/>
    <w:rsid w:val="00B459E8"/>
    <w:rsid w:val="00B45BB7"/>
    <w:rsid w:val="00B46150"/>
    <w:rsid w:val="00B47055"/>
    <w:rsid w:val="00B47109"/>
    <w:rsid w:val="00B472FD"/>
    <w:rsid w:val="00B4770F"/>
    <w:rsid w:val="00B4772F"/>
    <w:rsid w:val="00B4779F"/>
    <w:rsid w:val="00B477E6"/>
    <w:rsid w:val="00B47957"/>
    <w:rsid w:val="00B47AE7"/>
    <w:rsid w:val="00B47AFD"/>
    <w:rsid w:val="00B47B68"/>
    <w:rsid w:val="00B47C2A"/>
    <w:rsid w:val="00B47F12"/>
    <w:rsid w:val="00B50025"/>
    <w:rsid w:val="00B50438"/>
    <w:rsid w:val="00B50893"/>
    <w:rsid w:val="00B50CD4"/>
    <w:rsid w:val="00B50D0E"/>
    <w:rsid w:val="00B51801"/>
    <w:rsid w:val="00B519AF"/>
    <w:rsid w:val="00B51C93"/>
    <w:rsid w:val="00B520BC"/>
    <w:rsid w:val="00B525B2"/>
    <w:rsid w:val="00B52AE9"/>
    <w:rsid w:val="00B52C20"/>
    <w:rsid w:val="00B52D79"/>
    <w:rsid w:val="00B5371D"/>
    <w:rsid w:val="00B5376D"/>
    <w:rsid w:val="00B53A1D"/>
    <w:rsid w:val="00B541EA"/>
    <w:rsid w:val="00B546B6"/>
    <w:rsid w:val="00B546DA"/>
    <w:rsid w:val="00B54951"/>
    <w:rsid w:val="00B549C2"/>
    <w:rsid w:val="00B54EF3"/>
    <w:rsid w:val="00B55018"/>
    <w:rsid w:val="00B555F3"/>
    <w:rsid w:val="00B555FF"/>
    <w:rsid w:val="00B55903"/>
    <w:rsid w:val="00B55A70"/>
    <w:rsid w:val="00B55BB2"/>
    <w:rsid w:val="00B55EDC"/>
    <w:rsid w:val="00B563E2"/>
    <w:rsid w:val="00B56B76"/>
    <w:rsid w:val="00B56DC1"/>
    <w:rsid w:val="00B56DEE"/>
    <w:rsid w:val="00B57A70"/>
    <w:rsid w:val="00B57CE6"/>
    <w:rsid w:val="00B57CFF"/>
    <w:rsid w:val="00B60A5F"/>
    <w:rsid w:val="00B60A7E"/>
    <w:rsid w:val="00B60FB6"/>
    <w:rsid w:val="00B61158"/>
    <w:rsid w:val="00B61207"/>
    <w:rsid w:val="00B61AAA"/>
    <w:rsid w:val="00B61D39"/>
    <w:rsid w:val="00B6227F"/>
    <w:rsid w:val="00B62DB9"/>
    <w:rsid w:val="00B630BC"/>
    <w:rsid w:val="00B630C0"/>
    <w:rsid w:val="00B632CA"/>
    <w:rsid w:val="00B63571"/>
    <w:rsid w:val="00B637F8"/>
    <w:rsid w:val="00B63E8B"/>
    <w:rsid w:val="00B64351"/>
    <w:rsid w:val="00B644D7"/>
    <w:rsid w:val="00B6466F"/>
    <w:rsid w:val="00B64767"/>
    <w:rsid w:val="00B649AC"/>
    <w:rsid w:val="00B6507F"/>
    <w:rsid w:val="00B65D49"/>
    <w:rsid w:val="00B660BC"/>
    <w:rsid w:val="00B66307"/>
    <w:rsid w:val="00B66ED0"/>
    <w:rsid w:val="00B67040"/>
    <w:rsid w:val="00B6722F"/>
    <w:rsid w:val="00B67C8F"/>
    <w:rsid w:val="00B67CC8"/>
    <w:rsid w:val="00B67CE5"/>
    <w:rsid w:val="00B700A7"/>
    <w:rsid w:val="00B7066F"/>
    <w:rsid w:val="00B7070B"/>
    <w:rsid w:val="00B707C4"/>
    <w:rsid w:val="00B709C1"/>
    <w:rsid w:val="00B70BC4"/>
    <w:rsid w:val="00B70D33"/>
    <w:rsid w:val="00B70F56"/>
    <w:rsid w:val="00B70FDB"/>
    <w:rsid w:val="00B7127D"/>
    <w:rsid w:val="00B71EED"/>
    <w:rsid w:val="00B71F4F"/>
    <w:rsid w:val="00B71F84"/>
    <w:rsid w:val="00B720BC"/>
    <w:rsid w:val="00B72151"/>
    <w:rsid w:val="00B72301"/>
    <w:rsid w:val="00B7231D"/>
    <w:rsid w:val="00B725B8"/>
    <w:rsid w:val="00B72615"/>
    <w:rsid w:val="00B727A4"/>
    <w:rsid w:val="00B72B21"/>
    <w:rsid w:val="00B72B46"/>
    <w:rsid w:val="00B72D9F"/>
    <w:rsid w:val="00B72ECD"/>
    <w:rsid w:val="00B72F48"/>
    <w:rsid w:val="00B7327E"/>
    <w:rsid w:val="00B73597"/>
    <w:rsid w:val="00B736FA"/>
    <w:rsid w:val="00B73704"/>
    <w:rsid w:val="00B738ED"/>
    <w:rsid w:val="00B7395F"/>
    <w:rsid w:val="00B73EA5"/>
    <w:rsid w:val="00B73EAE"/>
    <w:rsid w:val="00B73F1B"/>
    <w:rsid w:val="00B744D1"/>
    <w:rsid w:val="00B7485B"/>
    <w:rsid w:val="00B74866"/>
    <w:rsid w:val="00B74B31"/>
    <w:rsid w:val="00B751AA"/>
    <w:rsid w:val="00B75729"/>
    <w:rsid w:val="00B75826"/>
    <w:rsid w:val="00B7598C"/>
    <w:rsid w:val="00B75A6A"/>
    <w:rsid w:val="00B75C50"/>
    <w:rsid w:val="00B75E50"/>
    <w:rsid w:val="00B75F5C"/>
    <w:rsid w:val="00B76B41"/>
    <w:rsid w:val="00B76DDA"/>
    <w:rsid w:val="00B76F3B"/>
    <w:rsid w:val="00B772CD"/>
    <w:rsid w:val="00B77CC1"/>
    <w:rsid w:val="00B77E57"/>
    <w:rsid w:val="00B77FB9"/>
    <w:rsid w:val="00B80246"/>
    <w:rsid w:val="00B806EC"/>
    <w:rsid w:val="00B80A55"/>
    <w:rsid w:val="00B80AF5"/>
    <w:rsid w:val="00B811BE"/>
    <w:rsid w:val="00B812F6"/>
    <w:rsid w:val="00B81317"/>
    <w:rsid w:val="00B813C8"/>
    <w:rsid w:val="00B81772"/>
    <w:rsid w:val="00B8178D"/>
    <w:rsid w:val="00B81F96"/>
    <w:rsid w:val="00B82042"/>
    <w:rsid w:val="00B820B3"/>
    <w:rsid w:val="00B8282B"/>
    <w:rsid w:val="00B8295A"/>
    <w:rsid w:val="00B82B7F"/>
    <w:rsid w:val="00B82C1F"/>
    <w:rsid w:val="00B82D42"/>
    <w:rsid w:val="00B82F96"/>
    <w:rsid w:val="00B8307C"/>
    <w:rsid w:val="00B8314D"/>
    <w:rsid w:val="00B833DB"/>
    <w:rsid w:val="00B8341D"/>
    <w:rsid w:val="00B8350D"/>
    <w:rsid w:val="00B8359D"/>
    <w:rsid w:val="00B8366C"/>
    <w:rsid w:val="00B83962"/>
    <w:rsid w:val="00B83C55"/>
    <w:rsid w:val="00B8415E"/>
    <w:rsid w:val="00B844A5"/>
    <w:rsid w:val="00B844C2"/>
    <w:rsid w:val="00B84831"/>
    <w:rsid w:val="00B84B44"/>
    <w:rsid w:val="00B84B85"/>
    <w:rsid w:val="00B84C39"/>
    <w:rsid w:val="00B85029"/>
    <w:rsid w:val="00B85046"/>
    <w:rsid w:val="00B8520B"/>
    <w:rsid w:val="00B852C5"/>
    <w:rsid w:val="00B85371"/>
    <w:rsid w:val="00B85B91"/>
    <w:rsid w:val="00B85CCB"/>
    <w:rsid w:val="00B85D13"/>
    <w:rsid w:val="00B860E2"/>
    <w:rsid w:val="00B8635D"/>
    <w:rsid w:val="00B86E65"/>
    <w:rsid w:val="00B87462"/>
    <w:rsid w:val="00B87DDF"/>
    <w:rsid w:val="00B90532"/>
    <w:rsid w:val="00B90533"/>
    <w:rsid w:val="00B906E3"/>
    <w:rsid w:val="00B90EEC"/>
    <w:rsid w:val="00B9104F"/>
    <w:rsid w:val="00B911E3"/>
    <w:rsid w:val="00B91330"/>
    <w:rsid w:val="00B914EB"/>
    <w:rsid w:val="00B91847"/>
    <w:rsid w:val="00B92386"/>
    <w:rsid w:val="00B92A15"/>
    <w:rsid w:val="00B92A6A"/>
    <w:rsid w:val="00B933B3"/>
    <w:rsid w:val="00B93E49"/>
    <w:rsid w:val="00B94321"/>
    <w:rsid w:val="00B94398"/>
    <w:rsid w:val="00B94429"/>
    <w:rsid w:val="00B9494F"/>
    <w:rsid w:val="00B94CA8"/>
    <w:rsid w:val="00B94E0C"/>
    <w:rsid w:val="00B94E94"/>
    <w:rsid w:val="00B95308"/>
    <w:rsid w:val="00B95C8A"/>
    <w:rsid w:val="00B95FF1"/>
    <w:rsid w:val="00B96026"/>
    <w:rsid w:val="00B96096"/>
    <w:rsid w:val="00B960A8"/>
    <w:rsid w:val="00B96263"/>
    <w:rsid w:val="00B962F9"/>
    <w:rsid w:val="00B96605"/>
    <w:rsid w:val="00B96717"/>
    <w:rsid w:val="00B96E1E"/>
    <w:rsid w:val="00B96F29"/>
    <w:rsid w:val="00B97164"/>
    <w:rsid w:val="00B97508"/>
    <w:rsid w:val="00B977A6"/>
    <w:rsid w:val="00BA006D"/>
    <w:rsid w:val="00BA007A"/>
    <w:rsid w:val="00BA012E"/>
    <w:rsid w:val="00BA013A"/>
    <w:rsid w:val="00BA02A6"/>
    <w:rsid w:val="00BA0527"/>
    <w:rsid w:val="00BA091E"/>
    <w:rsid w:val="00BA0A80"/>
    <w:rsid w:val="00BA0E51"/>
    <w:rsid w:val="00BA0FEC"/>
    <w:rsid w:val="00BA1368"/>
    <w:rsid w:val="00BA1389"/>
    <w:rsid w:val="00BA1D78"/>
    <w:rsid w:val="00BA2017"/>
    <w:rsid w:val="00BA231D"/>
    <w:rsid w:val="00BA2761"/>
    <w:rsid w:val="00BA29C1"/>
    <w:rsid w:val="00BA2E6D"/>
    <w:rsid w:val="00BA3037"/>
    <w:rsid w:val="00BA3263"/>
    <w:rsid w:val="00BA36B7"/>
    <w:rsid w:val="00BA3751"/>
    <w:rsid w:val="00BA3A04"/>
    <w:rsid w:val="00BA3B21"/>
    <w:rsid w:val="00BA3E6B"/>
    <w:rsid w:val="00BA441F"/>
    <w:rsid w:val="00BA4A1F"/>
    <w:rsid w:val="00BA4A5D"/>
    <w:rsid w:val="00BA4BE9"/>
    <w:rsid w:val="00BA4EEA"/>
    <w:rsid w:val="00BA5334"/>
    <w:rsid w:val="00BA53FA"/>
    <w:rsid w:val="00BA582D"/>
    <w:rsid w:val="00BA5909"/>
    <w:rsid w:val="00BA59C8"/>
    <w:rsid w:val="00BA653B"/>
    <w:rsid w:val="00BA6A0A"/>
    <w:rsid w:val="00BA7275"/>
    <w:rsid w:val="00BA74FD"/>
    <w:rsid w:val="00BA7960"/>
    <w:rsid w:val="00BA7D09"/>
    <w:rsid w:val="00BB01EB"/>
    <w:rsid w:val="00BB06B8"/>
    <w:rsid w:val="00BB089D"/>
    <w:rsid w:val="00BB09E9"/>
    <w:rsid w:val="00BB0A9C"/>
    <w:rsid w:val="00BB0AE7"/>
    <w:rsid w:val="00BB1102"/>
    <w:rsid w:val="00BB1160"/>
    <w:rsid w:val="00BB1668"/>
    <w:rsid w:val="00BB1C82"/>
    <w:rsid w:val="00BB1E35"/>
    <w:rsid w:val="00BB1E9B"/>
    <w:rsid w:val="00BB27DF"/>
    <w:rsid w:val="00BB32AA"/>
    <w:rsid w:val="00BB3312"/>
    <w:rsid w:val="00BB3A1E"/>
    <w:rsid w:val="00BB3B0F"/>
    <w:rsid w:val="00BB415C"/>
    <w:rsid w:val="00BB4420"/>
    <w:rsid w:val="00BB4536"/>
    <w:rsid w:val="00BB465F"/>
    <w:rsid w:val="00BB4EE7"/>
    <w:rsid w:val="00BB4F6E"/>
    <w:rsid w:val="00BB5416"/>
    <w:rsid w:val="00BB55EE"/>
    <w:rsid w:val="00BB5EF5"/>
    <w:rsid w:val="00BB5F62"/>
    <w:rsid w:val="00BB631D"/>
    <w:rsid w:val="00BB6686"/>
    <w:rsid w:val="00BB6972"/>
    <w:rsid w:val="00BB6AE9"/>
    <w:rsid w:val="00BB6BF3"/>
    <w:rsid w:val="00BB6F79"/>
    <w:rsid w:val="00BB6FBF"/>
    <w:rsid w:val="00BB71A4"/>
    <w:rsid w:val="00BB7358"/>
    <w:rsid w:val="00BB736A"/>
    <w:rsid w:val="00BB73DD"/>
    <w:rsid w:val="00BB75B8"/>
    <w:rsid w:val="00BB766E"/>
    <w:rsid w:val="00BB799F"/>
    <w:rsid w:val="00BB79E8"/>
    <w:rsid w:val="00BB7CC9"/>
    <w:rsid w:val="00BB7EE1"/>
    <w:rsid w:val="00BC02C6"/>
    <w:rsid w:val="00BC05EB"/>
    <w:rsid w:val="00BC0655"/>
    <w:rsid w:val="00BC07BB"/>
    <w:rsid w:val="00BC0A0F"/>
    <w:rsid w:val="00BC0AB3"/>
    <w:rsid w:val="00BC0EA1"/>
    <w:rsid w:val="00BC0FF0"/>
    <w:rsid w:val="00BC1241"/>
    <w:rsid w:val="00BC1B04"/>
    <w:rsid w:val="00BC1BF2"/>
    <w:rsid w:val="00BC2507"/>
    <w:rsid w:val="00BC3010"/>
    <w:rsid w:val="00BC314F"/>
    <w:rsid w:val="00BC34BD"/>
    <w:rsid w:val="00BC359E"/>
    <w:rsid w:val="00BC364C"/>
    <w:rsid w:val="00BC3726"/>
    <w:rsid w:val="00BC381E"/>
    <w:rsid w:val="00BC38F2"/>
    <w:rsid w:val="00BC3919"/>
    <w:rsid w:val="00BC39DA"/>
    <w:rsid w:val="00BC412C"/>
    <w:rsid w:val="00BC4142"/>
    <w:rsid w:val="00BC42D3"/>
    <w:rsid w:val="00BC460D"/>
    <w:rsid w:val="00BC4919"/>
    <w:rsid w:val="00BC49E6"/>
    <w:rsid w:val="00BC4CEA"/>
    <w:rsid w:val="00BC523E"/>
    <w:rsid w:val="00BC5594"/>
    <w:rsid w:val="00BC56D2"/>
    <w:rsid w:val="00BC636D"/>
    <w:rsid w:val="00BC6396"/>
    <w:rsid w:val="00BC683A"/>
    <w:rsid w:val="00BC68B3"/>
    <w:rsid w:val="00BC6A05"/>
    <w:rsid w:val="00BC6D12"/>
    <w:rsid w:val="00BC73CC"/>
    <w:rsid w:val="00BC7BE3"/>
    <w:rsid w:val="00BC7CAF"/>
    <w:rsid w:val="00BD02D6"/>
    <w:rsid w:val="00BD0618"/>
    <w:rsid w:val="00BD075C"/>
    <w:rsid w:val="00BD0A00"/>
    <w:rsid w:val="00BD0A94"/>
    <w:rsid w:val="00BD0F6E"/>
    <w:rsid w:val="00BD1270"/>
    <w:rsid w:val="00BD22D7"/>
    <w:rsid w:val="00BD2415"/>
    <w:rsid w:val="00BD241E"/>
    <w:rsid w:val="00BD258C"/>
    <w:rsid w:val="00BD2BF6"/>
    <w:rsid w:val="00BD3A11"/>
    <w:rsid w:val="00BD3B8F"/>
    <w:rsid w:val="00BD3F6A"/>
    <w:rsid w:val="00BD3FFF"/>
    <w:rsid w:val="00BD4648"/>
    <w:rsid w:val="00BD4819"/>
    <w:rsid w:val="00BD4821"/>
    <w:rsid w:val="00BD48F7"/>
    <w:rsid w:val="00BD4915"/>
    <w:rsid w:val="00BD4C44"/>
    <w:rsid w:val="00BD4C6A"/>
    <w:rsid w:val="00BD50E6"/>
    <w:rsid w:val="00BD59A4"/>
    <w:rsid w:val="00BD6229"/>
    <w:rsid w:val="00BD6269"/>
    <w:rsid w:val="00BD6372"/>
    <w:rsid w:val="00BD6A66"/>
    <w:rsid w:val="00BD6B6A"/>
    <w:rsid w:val="00BD6D60"/>
    <w:rsid w:val="00BD702E"/>
    <w:rsid w:val="00BD7837"/>
    <w:rsid w:val="00BD7915"/>
    <w:rsid w:val="00BD7B53"/>
    <w:rsid w:val="00BD7C36"/>
    <w:rsid w:val="00BD7FEE"/>
    <w:rsid w:val="00BE07BE"/>
    <w:rsid w:val="00BE0A73"/>
    <w:rsid w:val="00BE0DF2"/>
    <w:rsid w:val="00BE106D"/>
    <w:rsid w:val="00BE17AA"/>
    <w:rsid w:val="00BE17CB"/>
    <w:rsid w:val="00BE19E9"/>
    <w:rsid w:val="00BE22FA"/>
    <w:rsid w:val="00BE29BF"/>
    <w:rsid w:val="00BE32B6"/>
    <w:rsid w:val="00BE338C"/>
    <w:rsid w:val="00BE3403"/>
    <w:rsid w:val="00BE3C9F"/>
    <w:rsid w:val="00BE45DF"/>
    <w:rsid w:val="00BE46C2"/>
    <w:rsid w:val="00BE4718"/>
    <w:rsid w:val="00BE49E6"/>
    <w:rsid w:val="00BE4A50"/>
    <w:rsid w:val="00BE4CA0"/>
    <w:rsid w:val="00BE4E23"/>
    <w:rsid w:val="00BE4FD0"/>
    <w:rsid w:val="00BE51C1"/>
    <w:rsid w:val="00BE5233"/>
    <w:rsid w:val="00BE5262"/>
    <w:rsid w:val="00BE5838"/>
    <w:rsid w:val="00BE5CA1"/>
    <w:rsid w:val="00BE6C84"/>
    <w:rsid w:val="00BE6F65"/>
    <w:rsid w:val="00BE7F64"/>
    <w:rsid w:val="00BF0114"/>
    <w:rsid w:val="00BF062F"/>
    <w:rsid w:val="00BF063B"/>
    <w:rsid w:val="00BF0D1D"/>
    <w:rsid w:val="00BF0E47"/>
    <w:rsid w:val="00BF0FB7"/>
    <w:rsid w:val="00BF1197"/>
    <w:rsid w:val="00BF1776"/>
    <w:rsid w:val="00BF1957"/>
    <w:rsid w:val="00BF1DD0"/>
    <w:rsid w:val="00BF1F50"/>
    <w:rsid w:val="00BF22C2"/>
    <w:rsid w:val="00BF2416"/>
    <w:rsid w:val="00BF2684"/>
    <w:rsid w:val="00BF26C3"/>
    <w:rsid w:val="00BF274B"/>
    <w:rsid w:val="00BF29A1"/>
    <w:rsid w:val="00BF2B6B"/>
    <w:rsid w:val="00BF2C2D"/>
    <w:rsid w:val="00BF2F0B"/>
    <w:rsid w:val="00BF323B"/>
    <w:rsid w:val="00BF342B"/>
    <w:rsid w:val="00BF34E8"/>
    <w:rsid w:val="00BF369F"/>
    <w:rsid w:val="00BF3973"/>
    <w:rsid w:val="00BF405B"/>
    <w:rsid w:val="00BF4319"/>
    <w:rsid w:val="00BF44E3"/>
    <w:rsid w:val="00BF478C"/>
    <w:rsid w:val="00BF4BC5"/>
    <w:rsid w:val="00BF4CFD"/>
    <w:rsid w:val="00BF52F8"/>
    <w:rsid w:val="00BF5434"/>
    <w:rsid w:val="00BF59B5"/>
    <w:rsid w:val="00BF6132"/>
    <w:rsid w:val="00BF69C1"/>
    <w:rsid w:val="00BF6DD7"/>
    <w:rsid w:val="00C001B3"/>
    <w:rsid w:val="00C002B8"/>
    <w:rsid w:val="00C00A29"/>
    <w:rsid w:val="00C00E74"/>
    <w:rsid w:val="00C013CE"/>
    <w:rsid w:val="00C0159B"/>
    <w:rsid w:val="00C0171C"/>
    <w:rsid w:val="00C017BD"/>
    <w:rsid w:val="00C018BA"/>
    <w:rsid w:val="00C0190A"/>
    <w:rsid w:val="00C019A6"/>
    <w:rsid w:val="00C02186"/>
    <w:rsid w:val="00C0273E"/>
    <w:rsid w:val="00C028B8"/>
    <w:rsid w:val="00C02980"/>
    <w:rsid w:val="00C02AF7"/>
    <w:rsid w:val="00C02CA6"/>
    <w:rsid w:val="00C02FE0"/>
    <w:rsid w:val="00C03975"/>
    <w:rsid w:val="00C03A98"/>
    <w:rsid w:val="00C041D6"/>
    <w:rsid w:val="00C0497F"/>
    <w:rsid w:val="00C04A46"/>
    <w:rsid w:val="00C04A7A"/>
    <w:rsid w:val="00C04CB8"/>
    <w:rsid w:val="00C050EA"/>
    <w:rsid w:val="00C052C0"/>
    <w:rsid w:val="00C05413"/>
    <w:rsid w:val="00C05602"/>
    <w:rsid w:val="00C056CA"/>
    <w:rsid w:val="00C05945"/>
    <w:rsid w:val="00C059BE"/>
    <w:rsid w:val="00C05B03"/>
    <w:rsid w:val="00C05E5F"/>
    <w:rsid w:val="00C06DED"/>
    <w:rsid w:val="00C06F22"/>
    <w:rsid w:val="00C07469"/>
    <w:rsid w:val="00C07824"/>
    <w:rsid w:val="00C078E5"/>
    <w:rsid w:val="00C07949"/>
    <w:rsid w:val="00C105F4"/>
    <w:rsid w:val="00C10785"/>
    <w:rsid w:val="00C109D6"/>
    <w:rsid w:val="00C10F27"/>
    <w:rsid w:val="00C11BBF"/>
    <w:rsid w:val="00C12106"/>
    <w:rsid w:val="00C127A8"/>
    <w:rsid w:val="00C129BE"/>
    <w:rsid w:val="00C12BDA"/>
    <w:rsid w:val="00C12CB6"/>
    <w:rsid w:val="00C12D5F"/>
    <w:rsid w:val="00C13377"/>
    <w:rsid w:val="00C135EC"/>
    <w:rsid w:val="00C13A0D"/>
    <w:rsid w:val="00C13A75"/>
    <w:rsid w:val="00C13C00"/>
    <w:rsid w:val="00C13C02"/>
    <w:rsid w:val="00C14299"/>
    <w:rsid w:val="00C1452D"/>
    <w:rsid w:val="00C14A07"/>
    <w:rsid w:val="00C14D65"/>
    <w:rsid w:val="00C14F9F"/>
    <w:rsid w:val="00C150AB"/>
    <w:rsid w:val="00C153C2"/>
    <w:rsid w:val="00C15741"/>
    <w:rsid w:val="00C15894"/>
    <w:rsid w:val="00C15C4F"/>
    <w:rsid w:val="00C16897"/>
    <w:rsid w:val="00C16B9F"/>
    <w:rsid w:val="00C16F51"/>
    <w:rsid w:val="00C17116"/>
    <w:rsid w:val="00C1763F"/>
    <w:rsid w:val="00C1791F"/>
    <w:rsid w:val="00C17E89"/>
    <w:rsid w:val="00C20345"/>
    <w:rsid w:val="00C205B0"/>
    <w:rsid w:val="00C20BFF"/>
    <w:rsid w:val="00C20D83"/>
    <w:rsid w:val="00C21140"/>
    <w:rsid w:val="00C212B2"/>
    <w:rsid w:val="00C2181F"/>
    <w:rsid w:val="00C21BD2"/>
    <w:rsid w:val="00C21D8F"/>
    <w:rsid w:val="00C21E00"/>
    <w:rsid w:val="00C21F82"/>
    <w:rsid w:val="00C22A73"/>
    <w:rsid w:val="00C22AC7"/>
    <w:rsid w:val="00C22E30"/>
    <w:rsid w:val="00C230F6"/>
    <w:rsid w:val="00C231C2"/>
    <w:rsid w:val="00C233AC"/>
    <w:rsid w:val="00C2388A"/>
    <w:rsid w:val="00C24242"/>
    <w:rsid w:val="00C2446F"/>
    <w:rsid w:val="00C24570"/>
    <w:rsid w:val="00C246F5"/>
    <w:rsid w:val="00C248F6"/>
    <w:rsid w:val="00C24E5C"/>
    <w:rsid w:val="00C25444"/>
    <w:rsid w:val="00C256F4"/>
    <w:rsid w:val="00C25833"/>
    <w:rsid w:val="00C259A2"/>
    <w:rsid w:val="00C25B0F"/>
    <w:rsid w:val="00C25B56"/>
    <w:rsid w:val="00C25D20"/>
    <w:rsid w:val="00C266F5"/>
    <w:rsid w:val="00C269D8"/>
    <w:rsid w:val="00C26A0A"/>
    <w:rsid w:val="00C26D3E"/>
    <w:rsid w:val="00C26D6B"/>
    <w:rsid w:val="00C27112"/>
    <w:rsid w:val="00C2734E"/>
    <w:rsid w:val="00C2753D"/>
    <w:rsid w:val="00C276AE"/>
    <w:rsid w:val="00C276FB"/>
    <w:rsid w:val="00C279A8"/>
    <w:rsid w:val="00C27B7A"/>
    <w:rsid w:val="00C30205"/>
    <w:rsid w:val="00C30482"/>
    <w:rsid w:val="00C30717"/>
    <w:rsid w:val="00C307E9"/>
    <w:rsid w:val="00C309A8"/>
    <w:rsid w:val="00C30C7C"/>
    <w:rsid w:val="00C30CD2"/>
    <w:rsid w:val="00C30E28"/>
    <w:rsid w:val="00C30E93"/>
    <w:rsid w:val="00C31281"/>
    <w:rsid w:val="00C31A44"/>
    <w:rsid w:val="00C31AC5"/>
    <w:rsid w:val="00C31DA2"/>
    <w:rsid w:val="00C324EE"/>
    <w:rsid w:val="00C32818"/>
    <w:rsid w:val="00C3299F"/>
    <w:rsid w:val="00C32D4E"/>
    <w:rsid w:val="00C32EFE"/>
    <w:rsid w:val="00C32FEE"/>
    <w:rsid w:val="00C33384"/>
    <w:rsid w:val="00C3356A"/>
    <w:rsid w:val="00C335C3"/>
    <w:rsid w:val="00C33B4E"/>
    <w:rsid w:val="00C33C57"/>
    <w:rsid w:val="00C34056"/>
    <w:rsid w:val="00C349E7"/>
    <w:rsid w:val="00C34C14"/>
    <w:rsid w:val="00C350F0"/>
    <w:rsid w:val="00C3521D"/>
    <w:rsid w:val="00C355EA"/>
    <w:rsid w:val="00C3574D"/>
    <w:rsid w:val="00C357C5"/>
    <w:rsid w:val="00C35981"/>
    <w:rsid w:val="00C35A4C"/>
    <w:rsid w:val="00C35DD1"/>
    <w:rsid w:val="00C360AB"/>
    <w:rsid w:val="00C36155"/>
    <w:rsid w:val="00C3641C"/>
    <w:rsid w:val="00C3659A"/>
    <w:rsid w:val="00C3663E"/>
    <w:rsid w:val="00C366E0"/>
    <w:rsid w:val="00C36958"/>
    <w:rsid w:val="00C36A44"/>
    <w:rsid w:val="00C36C0F"/>
    <w:rsid w:val="00C36EFF"/>
    <w:rsid w:val="00C372E4"/>
    <w:rsid w:val="00C37CAA"/>
    <w:rsid w:val="00C37D67"/>
    <w:rsid w:val="00C37E1C"/>
    <w:rsid w:val="00C37EA1"/>
    <w:rsid w:val="00C4003C"/>
    <w:rsid w:val="00C40066"/>
    <w:rsid w:val="00C40237"/>
    <w:rsid w:val="00C40418"/>
    <w:rsid w:val="00C40444"/>
    <w:rsid w:val="00C414EE"/>
    <w:rsid w:val="00C415B5"/>
    <w:rsid w:val="00C41E7D"/>
    <w:rsid w:val="00C42B7A"/>
    <w:rsid w:val="00C42BD6"/>
    <w:rsid w:val="00C42E15"/>
    <w:rsid w:val="00C43084"/>
    <w:rsid w:val="00C4353E"/>
    <w:rsid w:val="00C439EE"/>
    <w:rsid w:val="00C43B02"/>
    <w:rsid w:val="00C43C00"/>
    <w:rsid w:val="00C43D00"/>
    <w:rsid w:val="00C443B8"/>
    <w:rsid w:val="00C44A11"/>
    <w:rsid w:val="00C44E25"/>
    <w:rsid w:val="00C450D5"/>
    <w:rsid w:val="00C4515A"/>
    <w:rsid w:val="00C4578A"/>
    <w:rsid w:val="00C4583C"/>
    <w:rsid w:val="00C45CCD"/>
    <w:rsid w:val="00C45CFB"/>
    <w:rsid w:val="00C45DE7"/>
    <w:rsid w:val="00C45EC7"/>
    <w:rsid w:val="00C460B3"/>
    <w:rsid w:val="00C467BC"/>
    <w:rsid w:val="00C467C1"/>
    <w:rsid w:val="00C46829"/>
    <w:rsid w:val="00C46C4E"/>
    <w:rsid w:val="00C46E50"/>
    <w:rsid w:val="00C46F9C"/>
    <w:rsid w:val="00C473D8"/>
    <w:rsid w:val="00C5003B"/>
    <w:rsid w:val="00C5049B"/>
    <w:rsid w:val="00C50B74"/>
    <w:rsid w:val="00C50BC1"/>
    <w:rsid w:val="00C50DA2"/>
    <w:rsid w:val="00C50FC3"/>
    <w:rsid w:val="00C5114D"/>
    <w:rsid w:val="00C51918"/>
    <w:rsid w:val="00C51CCA"/>
    <w:rsid w:val="00C52334"/>
    <w:rsid w:val="00C52C78"/>
    <w:rsid w:val="00C52D69"/>
    <w:rsid w:val="00C52EBB"/>
    <w:rsid w:val="00C53060"/>
    <w:rsid w:val="00C530AC"/>
    <w:rsid w:val="00C532AA"/>
    <w:rsid w:val="00C53A0A"/>
    <w:rsid w:val="00C53DBB"/>
    <w:rsid w:val="00C53EAA"/>
    <w:rsid w:val="00C5420B"/>
    <w:rsid w:val="00C542D4"/>
    <w:rsid w:val="00C54423"/>
    <w:rsid w:val="00C548FB"/>
    <w:rsid w:val="00C54E54"/>
    <w:rsid w:val="00C54EFF"/>
    <w:rsid w:val="00C550F3"/>
    <w:rsid w:val="00C55222"/>
    <w:rsid w:val="00C55335"/>
    <w:rsid w:val="00C55577"/>
    <w:rsid w:val="00C5568B"/>
    <w:rsid w:val="00C55BE3"/>
    <w:rsid w:val="00C55BE4"/>
    <w:rsid w:val="00C55E80"/>
    <w:rsid w:val="00C5626E"/>
    <w:rsid w:val="00C56545"/>
    <w:rsid w:val="00C56601"/>
    <w:rsid w:val="00C56702"/>
    <w:rsid w:val="00C56734"/>
    <w:rsid w:val="00C567C2"/>
    <w:rsid w:val="00C568E7"/>
    <w:rsid w:val="00C56B95"/>
    <w:rsid w:val="00C56C20"/>
    <w:rsid w:val="00C56F14"/>
    <w:rsid w:val="00C5706F"/>
    <w:rsid w:val="00C570E7"/>
    <w:rsid w:val="00C575B8"/>
    <w:rsid w:val="00C602B2"/>
    <w:rsid w:val="00C60362"/>
    <w:rsid w:val="00C60B35"/>
    <w:rsid w:val="00C60BD9"/>
    <w:rsid w:val="00C60BEB"/>
    <w:rsid w:val="00C60E5D"/>
    <w:rsid w:val="00C61008"/>
    <w:rsid w:val="00C6140D"/>
    <w:rsid w:val="00C61849"/>
    <w:rsid w:val="00C61CA7"/>
    <w:rsid w:val="00C61DF5"/>
    <w:rsid w:val="00C61E2A"/>
    <w:rsid w:val="00C620AE"/>
    <w:rsid w:val="00C621BF"/>
    <w:rsid w:val="00C62492"/>
    <w:rsid w:val="00C6276F"/>
    <w:rsid w:val="00C62B75"/>
    <w:rsid w:val="00C62C3D"/>
    <w:rsid w:val="00C62E0E"/>
    <w:rsid w:val="00C62F5F"/>
    <w:rsid w:val="00C638CF"/>
    <w:rsid w:val="00C63BDE"/>
    <w:rsid w:val="00C63EA7"/>
    <w:rsid w:val="00C64443"/>
    <w:rsid w:val="00C64451"/>
    <w:rsid w:val="00C649B9"/>
    <w:rsid w:val="00C64A93"/>
    <w:rsid w:val="00C64C0F"/>
    <w:rsid w:val="00C64D23"/>
    <w:rsid w:val="00C654EB"/>
    <w:rsid w:val="00C65602"/>
    <w:rsid w:val="00C6642E"/>
    <w:rsid w:val="00C6678F"/>
    <w:rsid w:val="00C66B57"/>
    <w:rsid w:val="00C66F88"/>
    <w:rsid w:val="00C67519"/>
    <w:rsid w:val="00C67A06"/>
    <w:rsid w:val="00C67A7D"/>
    <w:rsid w:val="00C67C00"/>
    <w:rsid w:val="00C67EFF"/>
    <w:rsid w:val="00C70A87"/>
    <w:rsid w:val="00C712F8"/>
    <w:rsid w:val="00C713E7"/>
    <w:rsid w:val="00C7146F"/>
    <w:rsid w:val="00C714B0"/>
    <w:rsid w:val="00C7157B"/>
    <w:rsid w:val="00C71614"/>
    <w:rsid w:val="00C71E94"/>
    <w:rsid w:val="00C71FD4"/>
    <w:rsid w:val="00C72027"/>
    <w:rsid w:val="00C7227A"/>
    <w:rsid w:val="00C7251D"/>
    <w:rsid w:val="00C726A8"/>
    <w:rsid w:val="00C72819"/>
    <w:rsid w:val="00C72B78"/>
    <w:rsid w:val="00C72BD0"/>
    <w:rsid w:val="00C73177"/>
    <w:rsid w:val="00C734C8"/>
    <w:rsid w:val="00C7351C"/>
    <w:rsid w:val="00C7355B"/>
    <w:rsid w:val="00C7386E"/>
    <w:rsid w:val="00C73A7B"/>
    <w:rsid w:val="00C73AF2"/>
    <w:rsid w:val="00C73C18"/>
    <w:rsid w:val="00C7400D"/>
    <w:rsid w:val="00C74370"/>
    <w:rsid w:val="00C74C45"/>
    <w:rsid w:val="00C74F97"/>
    <w:rsid w:val="00C753F9"/>
    <w:rsid w:val="00C75571"/>
    <w:rsid w:val="00C75702"/>
    <w:rsid w:val="00C75800"/>
    <w:rsid w:val="00C75863"/>
    <w:rsid w:val="00C75B58"/>
    <w:rsid w:val="00C75D90"/>
    <w:rsid w:val="00C75DEB"/>
    <w:rsid w:val="00C75E1D"/>
    <w:rsid w:val="00C76339"/>
    <w:rsid w:val="00C76574"/>
    <w:rsid w:val="00C76AF6"/>
    <w:rsid w:val="00C77857"/>
    <w:rsid w:val="00C77914"/>
    <w:rsid w:val="00C77D47"/>
    <w:rsid w:val="00C77F74"/>
    <w:rsid w:val="00C77F79"/>
    <w:rsid w:val="00C80877"/>
    <w:rsid w:val="00C8088C"/>
    <w:rsid w:val="00C80E73"/>
    <w:rsid w:val="00C812D4"/>
    <w:rsid w:val="00C81E94"/>
    <w:rsid w:val="00C8212F"/>
    <w:rsid w:val="00C8273F"/>
    <w:rsid w:val="00C827E4"/>
    <w:rsid w:val="00C82B74"/>
    <w:rsid w:val="00C82F81"/>
    <w:rsid w:val="00C83064"/>
    <w:rsid w:val="00C830FD"/>
    <w:rsid w:val="00C83221"/>
    <w:rsid w:val="00C83688"/>
    <w:rsid w:val="00C83FB1"/>
    <w:rsid w:val="00C8477B"/>
    <w:rsid w:val="00C84EEF"/>
    <w:rsid w:val="00C85371"/>
    <w:rsid w:val="00C855E1"/>
    <w:rsid w:val="00C857D8"/>
    <w:rsid w:val="00C857D9"/>
    <w:rsid w:val="00C858A7"/>
    <w:rsid w:val="00C85BBF"/>
    <w:rsid w:val="00C85CB7"/>
    <w:rsid w:val="00C85D80"/>
    <w:rsid w:val="00C8617A"/>
    <w:rsid w:val="00C86279"/>
    <w:rsid w:val="00C86319"/>
    <w:rsid w:val="00C86419"/>
    <w:rsid w:val="00C8671E"/>
    <w:rsid w:val="00C86B11"/>
    <w:rsid w:val="00C86B65"/>
    <w:rsid w:val="00C86D36"/>
    <w:rsid w:val="00C86E43"/>
    <w:rsid w:val="00C86F96"/>
    <w:rsid w:val="00C87AAD"/>
    <w:rsid w:val="00C87E3D"/>
    <w:rsid w:val="00C87E6F"/>
    <w:rsid w:val="00C9051E"/>
    <w:rsid w:val="00C90A6C"/>
    <w:rsid w:val="00C90AF5"/>
    <w:rsid w:val="00C90C15"/>
    <w:rsid w:val="00C9124D"/>
    <w:rsid w:val="00C91586"/>
    <w:rsid w:val="00C91614"/>
    <w:rsid w:val="00C919AD"/>
    <w:rsid w:val="00C92EBA"/>
    <w:rsid w:val="00C92FCC"/>
    <w:rsid w:val="00C9302B"/>
    <w:rsid w:val="00C934E6"/>
    <w:rsid w:val="00C93B21"/>
    <w:rsid w:val="00C9411B"/>
    <w:rsid w:val="00C9430C"/>
    <w:rsid w:val="00C944F2"/>
    <w:rsid w:val="00C9455A"/>
    <w:rsid w:val="00C94AB3"/>
    <w:rsid w:val="00C94BD4"/>
    <w:rsid w:val="00C94C47"/>
    <w:rsid w:val="00C94F5C"/>
    <w:rsid w:val="00C95121"/>
    <w:rsid w:val="00C952C9"/>
    <w:rsid w:val="00C9543C"/>
    <w:rsid w:val="00C954D0"/>
    <w:rsid w:val="00C9568F"/>
    <w:rsid w:val="00C95729"/>
    <w:rsid w:val="00C9593E"/>
    <w:rsid w:val="00C95D3A"/>
    <w:rsid w:val="00C96225"/>
    <w:rsid w:val="00C968E3"/>
    <w:rsid w:val="00C96A90"/>
    <w:rsid w:val="00C9785B"/>
    <w:rsid w:val="00C97882"/>
    <w:rsid w:val="00C97A3E"/>
    <w:rsid w:val="00C97A3F"/>
    <w:rsid w:val="00C97B6B"/>
    <w:rsid w:val="00C97F0A"/>
    <w:rsid w:val="00CA0094"/>
    <w:rsid w:val="00CA08AA"/>
    <w:rsid w:val="00CA0F37"/>
    <w:rsid w:val="00CA12B0"/>
    <w:rsid w:val="00CA1331"/>
    <w:rsid w:val="00CA1454"/>
    <w:rsid w:val="00CA16F4"/>
    <w:rsid w:val="00CA1912"/>
    <w:rsid w:val="00CA19BD"/>
    <w:rsid w:val="00CA1FF1"/>
    <w:rsid w:val="00CA2308"/>
    <w:rsid w:val="00CA2A70"/>
    <w:rsid w:val="00CA2F59"/>
    <w:rsid w:val="00CA3116"/>
    <w:rsid w:val="00CA33DA"/>
    <w:rsid w:val="00CA3607"/>
    <w:rsid w:val="00CA3905"/>
    <w:rsid w:val="00CA393B"/>
    <w:rsid w:val="00CA3B1B"/>
    <w:rsid w:val="00CA4078"/>
    <w:rsid w:val="00CA4843"/>
    <w:rsid w:val="00CA4975"/>
    <w:rsid w:val="00CA4ADB"/>
    <w:rsid w:val="00CA4ED8"/>
    <w:rsid w:val="00CA5ABE"/>
    <w:rsid w:val="00CA5F71"/>
    <w:rsid w:val="00CA6002"/>
    <w:rsid w:val="00CA607F"/>
    <w:rsid w:val="00CA651C"/>
    <w:rsid w:val="00CA686D"/>
    <w:rsid w:val="00CA6DF0"/>
    <w:rsid w:val="00CA6E34"/>
    <w:rsid w:val="00CA7155"/>
    <w:rsid w:val="00CA7166"/>
    <w:rsid w:val="00CA72D3"/>
    <w:rsid w:val="00CA748E"/>
    <w:rsid w:val="00CA774C"/>
    <w:rsid w:val="00CA78E1"/>
    <w:rsid w:val="00CA7A2A"/>
    <w:rsid w:val="00CA7E42"/>
    <w:rsid w:val="00CB0445"/>
    <w:rsid w:val="00CB0785"/>
    <w:rsid w:val="00CB0B9A"/>
    <w:rsid w:val="00CB0E43"/>
    <w:rsid w:val="00CB1656"/>
    <w:rsid w:val="00CB1A17"/>
    <w:rsid w:val="00CB1FB2"/>
    <w:rsid w:val="00CB270C"/>
    <w:rsid w:val="00CB29B0"/>
    <w:rsid w:val="00CB2CD1"/>
    <w:rsid w:val="00CB2CE7"/>
    <w:rsid w:val="00CB2D08"/>
    <w:rsid w:val="00CB3ADE"/>
    <w:rsid w:val="00CB3CB1"/>
    <w:rsid w:val="00CB3F85"/>
    <w:rsid w:val="00CB417B"/>
    <w:rsid w:val="00CB432D"/>
    <w:rsid w:val="00CB522C"/>
    <w:rsid w:val="00CB5261"/>
    <w:rsid w:val="00CB53DF"/>
    <w:rsid w:val="00CB5C47"/>
    <w:rsid w:val="00CB62C0"/>
    <w:rsid w:val="00CB63CA"/>
    <w:rsid w:val="00CB6647"/>
    <w:rsid w:val="00CB6938"/>
    <w:rsid w:val="00CB6A16"/>
    <w:rsid w:val="00CB6A18"/>
    <w:rsid w:val="00CB6EC2"/>
    <w:rsid w:val="00CB76C5"/>
    <w:rsid w:val="00CB7C79"/>
    <w:rsid w:val="00CB7D0F"/>
    <w:rsid w:val="00CB7D53"/>
    <w:rsid w:val="00CB7F64"/>
    <w:rsid w:val="00CC015D"/>
    <w:rsid w:val="00CC01FC"/>
    <w:rsid w:val="00CC0C68"/>
    <w:rsid w:val="00CC107F"/>
    <w:rsid w:val="00CC1194"/>
    <w:rsid w:val="00CC12DF"/>
    <w:rsid w:val="00CC12E4"/>
    <w:rsid w:val="00CC13C9"/>
    <w:rsid w:val="00CC147B"/>
    <w:rsid w:val="00CC19F7"/>
    <w:rsid w:val="00CC1C10"/>
    <w:rsid w:val="00CC2001"/>
    <w:rsid w:val="00CC2303"/>
    <w:rsid w:val="00CC2563"/>
    <w:rsid w:val="00CC283C"/>
    <w:rsid w:val="00CC2E8E"/>
    <w:rsid w:val="00CC3373"/>
    <w:rsid w:val="00CC375C"/>
    <w:rsid w:val="00CC39DF"/>
    <w:rsid w:val="00CC3A4D"/>
    <w:rsid w:val="00CC3A64"/>
    <w:rsid w:val="00CC3C71"/>
    <w:rsid w:val="00CC3D67"/>
    <w:rsid w:val="00CC3F00"/>
    <w:rsid w:val="00CC427C"/>
    <w:rsid w:val="00CC4DEB"/>
    <w:rsid w:val="00CC53EE"/>
    <w:rsid w:val="00CC5514"/>
    <w:rsid w:val="00CC576F"/>
    <w:rsid w:val="00CC5BFD"/>
    <w:rsid w:val="00CC5DEC"/>
    <w:rsid w:val="00CC5EC4"/>
    <w:rsid w:val="00CC5F3B"/>
    <w:rsid w:val="00CC62D7"/>
    <w:rsid w:val="00CC6631"/>
    <w:rsid w:val="00CC68D2"/>
    <w:rsid w:val="00CC68F5"/>
    <w:rsid w:val="00CC6B8E"/>
    <w:rsid w:val="00CC6D93"/>
    <w:rsid w:val="00CC6E22"/>
    <w:rsid w:val="00CC6FB4"/>
    <w:rsid w:val="00CC6FD7"/>
    <w:rsid w:val="00CC71B6"/>
    <w:rsid w:val="00CC757C"/>
    <w:rsid w:val="00CC79EA"/>
    <w:rsid w:val="00CC7D5E"/>
    <w:rsid w:val="00CC7F4C"/>
    <w:rsid w:val="00CD0742"/>
    <w:rsid w:val="00CD075B"/>
    <w:rsid w:val="00CD0866"/>
    <w:rsid w:val="00CD09E4"/>
    <w:rsid w:val="00CD09E7"/>
    <w:rsid w:val="00CD10AA"/>
    <w:rsid w:val="00CD12A6"/>
    <w:rsid w:val="00CD138D"/>
    <w:rsid w:val="00CD1535"/>
    <w:rsid w:val="00CD15D9"/>
    <w:rsid w:val="00CD1A1A"/>
    <w:rsid w:val="00CD1B88"/>
    <w:rsid w:val="00CD1E41"/>
    <w:rsid w:val="00CD2142"/>
    <w:rsid w:val="00CD22D5"/>
    <w:rsid w:val="00CD230E"/>
    <w:rsid w:val="00CD2400"/>
    <w:rsid w:val="00CD2833"/>
    <w:rsid w:val="00CD2973"/>
    <w:rsid w:val="00CD2E3D"/>
    <w:rsid w:val="00CD2F1E"/>
    <w:rsid w:val="00CD302C"/>
    <w:rsid w:val="00CD3913"/>
    <w:rsid w:val="00CD3CAC"/>
    <w:rsid w:val="00CD3E5D"/>
    <w:rsid w:val="00CD4744"/>
    <w:rsid w:val="00CD488A"/>
    <w:rsid w:val="00CD54C3"/>
    <w:rsid w:val="00CD5916"/>
    <w:rsid w:val="00CD6106"/>
    <w:rsid w:val="00CD6114"/>
    <w:rsid w:val="00CD6332"/>
    <w:rsid w:val="00CD653A"/>
    <w:rsid w:val="00CD6BC7"/>
    <w:rsid w:val="00CD6E84"/>
    <w:rsid w:val="00CD6EF1"/>
    <w:rsid w:val="00CD6F2D"/>
    <w:rsid w:val="00CD7102"/>
    <w:rsid w:val="00CD71E9"/>
    <w:rsid w:val="00CD76B4"/>
    <w:rsid w:val="00CD7B7E"/>
    <w:rsid w:val="00CD98F2"/>
    <w:rsid w:val="00CE0250"/>
    <w:rsid w:val="00CE04FC"/>
    <w:rsid w:val="00CE09F2"/>
    <w:rsid w:val="00CE0AC8"/>
    <w:rsid w:val="00CE0DBD"/>
    <w:rsid w:val="00CE0EF0"/>
    <w:rsid w:val="00CE10A7"/>
    <w:rsid w:val="00CE10CF"/>
    <w:rsid w:val="00CE11AD"/>
    <w:rsid w:val="00CE15C8"/>
    <w:rsid w:val="00CE179E"/>
    <w:rsid w:val="00CE1EF7"/>
    <w:rsid w:val="00CE20B8"/>
    <w:rsid w:val="00CE22EB"/>
    <w:rsid w:val="00CE24F0"/>
    <w:rsid w:val="00CE2651"/>
    <w:rsid w:val="00CE29A6"/>
    <w:rsid w:val="00CE29FF"/>
    <w:rsid w:val="00CE2ABD"/>
    <w:rsid w:val="00CE2DC1"/>
    <w:rsid w:val="00CE3103"/>
    <w:rsid w:val="00CE312B"/>
    <w:rsid w:val="00CE354D"/>
    <w:rsid w:val="00CE3B9E"/>
    <w:rsid w:val="00CE3C37"/>
    <w:rsid w:val="00CE3EF3"/>
    <w:rsid w:val="00CE4291"/>
    <w:rsid w:val="00CE476E"/>
    <w:rsid w:val="00CE4B21"/>
    <w:rsid w:val="00CE4BD3"/>
    <w:rsid w:val="00CE4FCE"/>
    <w:rsid w:val="00CE5188"/>
    <w:rsid w:val="00CE59A8"/>
    <w:rsid w:val="00CE5DDB"/>
    <w:rsid w:val="00CE60AC"/>
    <w:rsid w:val="00CE639A"/>
    <w:rsid w:val="00CE687C"/>
    <w:rsid w:val="00CE7026"/>
    <w:rsid w:val="00CE70FD"/>
    <w:rsid w:val="00CE7522"/>
    <w:rsid w:val="00CE7763"/>
    <w:rsid w:val="00CE77E1"/>
    <w:rsid w:val="00CE78CE"/>
    <w:rsid w:val="00CE7B36"/>
    <w:rsid w:val="00CE7B59"/>
    <w:rsid w:val="00CF04F2"/>
    <w:rsid w:val="00CF0A0E"/>
    <w:rsid w:val="00CF0B73"/>
    <w:rsid w:val="00CF0CFE"/>
    <w:rsid w:val="00CF1015"/>
    <w:rsid w:val="00CF1162"/>
    <w:rsid w:val="00CF15A0"/>
    <w:rsid w:val="00CF1893"/>
    <w:rsid w:val="00CF198E"/>
    <w:rsid w:val="00CF1BE7"/>
    <w:rsid w:val="00CF22ED"/>
    <w:rsid w:val="00CF2604"/>
    <w:rsid w:val="00CF2A82"/>
    <w:rsid w:val="00CF2E9F"/>
    <w:rsid w:val="00CF2F0F"/>
    <w:rsid w:val="00CF30B7"/>
    <w:rsid w:val="00CF32DB"/>
    <w:rsid w:val="00CF34AA"/>
    <w:rsid w:val="00CF377B"/>
    <w:rsid w:val="00CF3A65"/>
    <w:rsid w:val="00CF3B9E"/>
    <w:rsid w:val="00CF4456"/>
    <w:rsid w:val="00CF496C"/>
    <w:rsid w:val="00CF4A5C"/>
    <w:rsid w:val="00CF5651"/>
    <w:rsid w:val="00CF570E"/>
    <w:rsid w:val="00CF5F9A"/>
    <w:rsid w:val="00CF648D"/>
    <w:rsid w:val="00CF6655"/>
    <w:rsid w:val="00CF6A08"/>
    <w:rsid w:val="00CF6BFD"/>
    <w:rsid w:val="00CF6DA8"/>
    <w:rsid w:val="00CF6F31"/>
    <w:rsid w:val="00CF6F79"/>
    <w:rsid w:val="00CF7DBE"/>
    <w:rsid w:val="00CF7F5B"/>
    <w:rsid w:val="00D00265"/>
    <w:rsid w:val="00D00888"/>
    <w:rsid w:val="00D00B79"/>
    <w:rsid w:val="00D00DD2"/>
    <w:rsid w:val="00D011F9"/>
    <w:rsid w:val="00D0162E"/>
    <w:rsid w:val="00D01A99"/>
    <w:rsid w:val="00D01C46"/>
    <w:rsid w:val="00D021DC"/>
    <w:rsid w:val="00D02483"/>
    <w:rsid w:val="00D02486"/>
    <w:rsid w:val="00D02705"/>
    <w:rsid w:val="00D02C1E"/>
    <w:rsid w:val="00D032B3"/>
    <w:rsid w:val="00D03665"/>
    <w:rsid w:val="00D03792"/>
    <w:rsid w:val="00D0379C"/>
    <w:rsid w:val="00D045FD"/>
    <w:rsid w:val="00D04647"/>
    <w:rsid w:val="00D04A54"/>
    <w:rsid w:val="00D04EBF"/>
    <w:rsid w:val="00D04F7B"/>
    <w:rsid w:val="00D05160"/>
    <w:rsid w:val="00D055FE"/>
    <w:rsid w:val="00D05F4B"/>
    <w:rsid w:val="00D0606B"/>
    <w:rsid w:val="00D061BB"/>
    <w:rsid w:val="00D06545"/>
    <w:rsid w:val="00D068BD"/>
    <w:rsid w:val="00D06C09"/>
    <w:rsid w:val="00D07168"/>
    <w:rsid w:val="00D071B7"/>
    <w:rsid w:val="00D0727C"/>
    <w:rsid w:val="00D07B05"/>
    <w:rsid w:val="00D07BD0"/>
    <w:rsid w:val="00D100B8"/>
    <w:rsid w:val="00D10110"/>
    <w:rsid w:val="00D1059C"/>
    <w:rsid w:val="00D10758"/>
    <w:rsid w:val="00D108C6"/>
    <w:rsid w:val="00D10C11"/>
    <w:rsid w:val="00D10DE1"/>
    <w:rsid w:val="00D11071"/>
    <w:rsid w:val="00D110C6"/>
    <w:rsid w:val="00D111B2"/>
    <w:rsid w:val="00D112C8"/>
    <w:rsid w:val="00D11A83"/>
    <w:rsid w:val="00D11A8F"/>
    <w:rsid w:val="00D11E6F"/>
    <w:rsid w:val="00D120F9"/>
    <w:rsid w:val="00D124A6"/>
    <w:rsid w:val="00D1281F"/>
    <w:rsid w:val="00D129AC"/>
    <w:rsid w:val="00D12A9E"/>
    <w:rsid w:val="00D12FB6"/>
    <w:rsid w:val="00D131D0"/>
    <w:rsid w:val="00D13256"/>
    <w:rsid w:val="00D13300"/>
    <w:rsid w:val="00D1331F"/>
    <w:rsid w:val="00D13413"/>
    <w:rsid w:val="00D141F9"/>
    <w:rsid w:val="00D1484A"/>
    <w:rsid w:val="00D1498B"/>
    <w:rsid w:val="00D14BEE"/>
    <w:rsid w:val="00D15541"/>
    <w:rsid w:val="00D15625"/>
    <w:rsid w:val="00D15CA5"/>
    <w:rsid w:val="00D15EC5"/>
    <w:rsid w:val="00D15F79"/>
    <w:rsid w:val="00D16139"/>
    <w:rsid w:val="00D16AE4"/>
    <w:rsid w:val="00D16CB7"/>
    <w:rsid w:val="00D16DC2"/>
    <w:rsid w:val="00D17146"/>
    <w:rsid w:val="00D1744F"/>
    <w:rsid w:val="00D174A6"/>
    <w:rsid w:val="00D175AD"/>
    <w:rsid w:val="00D17A20"/>
    <w:rsid w:val="00D17BAD"/>
    <w:rsid w:val="00D17E69"/>
    <w:rsid w:val="00D17EB8"/>
    <w:rsid w:val="00D20426"/>
    <w:rsid w:val="00D20CB0"/>
    <w:rsid w:val="00D21004"/>
    <w:rsid w:val="00D211BE"/>
    <w:rsid w:val="00D2129E"/>
    <w:rsid w:val="00D213DF"/>
    <w:rsid w:val="00D21755"/>
    <w:rsid w:val="00D21A03"/>
    <w:rsid w:val="00D21A7A"/>
    <w:rsid w:val="00D21B6F"/>
    <w:rsid w:val="00D21CC8"/>
    <w:rsid w:val="00D21DFA"/>
    <w:rsid w:val="00D221CB"/>
    <w:rsid w:val="00D221F9"/>
    <w:rsid w:val="00D2233A"/>
    <w:rsid w:val="00D2249A"/>
    <w:rsid w:val="00D22C5E"/>
    <w:rsid w:val="00D22CF5"/>
    <w:rsid w:val="00D22E34"/>
    <w:rsid w:val="00D22E40"/>
    <w:rsid w:val="00D22ED2"/>
    <w:rsid w:val="00D236D6"/>
    <w:rsid w:val="00D237CE"/>
    <w:rsid w:val="00D2386E"/>
    <w:rsid w:val="00D238FC"/>
    <w:rsid w:val="00D23B03"/>
    <w:rsid w:val="00D23C8F"/>
    <w:rsid w:val="00D23DC4"/>
    <w:rsid w:val="00D23E1C"/>
    <w:rsid w:val="00D24020"/>
    <w:rsid w:val="00D24451"/>
    <w:rsid w:val="00D24454"/>
    <w:rsid w:val="00D246D3"/>
    <w:rsid w:val="00D248D5"/>
    <w:rsid w:val="00D2499E"/>
    <w:rsid w:val="00D24A71"/>
    <w:rsid w:val="00D24EE3"/>
    <w:rsid w:val="00D25251"/>
    <w:rsid w:val="00D252C3"/>
    <w:rsid w:val="00D25E6C"/>
    <w:rsid w:val="00D25EE2"/>
    <w:rsid w:val="00D2655D"/>
    <w:rsid w:val="00D266EC"/>
    <w:rsid w:val="00D26822"/>
    <w:rsid w:val="00D26A64"/>
    <w:rsid w:val="00D26EB1"/>
    <w:rsid w:val="00D27421"/>
    <w:rsid w:val="00D27855"/>
    <w:rsid w:val="00D27EE2"/>
    <w:rsid w:val="00D27F14"/>
    <w:rsid w:val="00D302A4"/>
    <w:rsid w:val="00D3079B"/>
    <w:rsid w:val="00D30C95"/>
    <w:rsid w:val="00D30FBA"/>
    <w:rsid w:val="00D31C2D"/>
    <w:rsid w:val="00D31E80"/>
    <w:rsid w:val="00D31F32"/>
    <w:rsid w:val="00D32AF4"/>
    <w:rsid w:val="00D32BE4"/>
    <w:rsid w:val="00D330BB"/>
    <w:rsid w:val="00D33651"/>
    <w:rsid w:val="00D337A5"/>
    <w:rsid w:val="00D33A1E"/>
    <w:rsid w:val="00D33C4B"/>
    <w:rsid w:val="00D33D57"/>
    <w:rsid w:val="00D34029"/>
    <w:rsid w:val="00D3498F"/>
    <w:rsid w:val="00D34F8F"/>
    <w:rsid w:val="00D35584"/>
    <w:rsid w:val="00D3562B"/>
    <w:rsid w:val="00D35A04"/>
    <w:rsid w:val="00D35A2E"/>
    <w:rsid w:val="00D361B0"/>
    <w:rsid w:val="00D36ABD"/>
    <w:rsid w:val="00D36AEC"/>
    <w:rsid w:val="00D36EF5"/>
    <w:rsid w:val="00D371D5"/>
    <w:rsid w:val="00D37578"/>
    <w:rsid w:val="00D375F2"/>
    <w:rsid w:val="00D37753"/>
    <w:rsid w:val="00D40077"/>
    <w:rsid w:val="00D40B85"/>
    <w:rsid w:val="00D40BCF"/>
    <w:rsid w:val="00D412FB"/>
    <w:rsid w:val="00D4151A"/>
    <w:rsid w:val="00D41B4F"/>
    <w:rsid w:val="00D41BD0"/>
    <w:rsid w:val="00D41D67"/>
    <w:rsid w:val="00D423BD"/>
    <w:rsid w:val="00D427D0"/>
    <w:rsid w:val="00D428C4"/>
    <w:rsid w:val="00D42E59"/>
    <w:rsid w:val="00D430BB"/>
    <w:rsid w:val="00D43331"/>
    <w:rsid w:val="00D4346C"/>
    <w:rsid w:val="00D434E2"/>
    <w:rsid w:val="00D43522"/>
    <w:rsid w:val="00D43683"/>
    <w:rsid w:val="00D43B2F"/>
    <w:rsid w:val="00D43FC9"/>
    <w:rsid w:val="00D442E6"/>
    <w:rsid w:val="00D44522"/>
    <w:rsid w:val="00D445AD"/>
    <w:rsid w:val="00D44709"/>
    <w:rsid w:val="00D4474F"/>
    <w:rsid w:val="00D452BB"/>
    <w:rsid w:val="00D4533A"/>
    <w:rsid w:val="00D455DB"/>
    <w:rsid w:val="00D458F3"/>
    <w:rsid w:val="00D45B89"/>
    <w:rsid w:val="00D4670E"/>
    <w:rsid w:val="00D46A37"/>
    <w:rsid w:val="00D46D22"/>
    <w:rsid w:val="00D46D67"/>
    <w:rsid w:val="00D46EE1"/>
    <w:rsid w:val="00D4706B"/>
    <w:rsid w:val="00D472BB"/>
    <w:rsid w:val="00D474BD"/>
    <w:rsid w:val="00D476B7"/>
    <w:rsid w:val="00D47EDB"/>
    <w:rsid w:val="00D50044"/>
    <w:rsid w:val="00D50BDA"/>
    <w:rsid w:val="00D50D01"/>
    <w:rsid w:val="00D50DC2"/>
    <w:rsid w:val="00D50EB8"/>
    <w:rsid w:val="00D512B6"/>
    <w:rsid w:val="00D514F3"/>
    <w:rsid w:val="00D515AF"/>
    <w:rsid w:val="00D51840"/>
    <w:rsid w:val="00D51869"/>
    <w:rsid w:val="00D51E22"/>
    <w:rsid w:val="00D51E6F"/>
    <w:rsid w:val="00D51ED3"/>
    <w:rsid w:val="00D521BF"/>
    <w:rsid w:val="00D52343"/>
    <w:rsid w:val="00D52532"/>
    <w:rsid w:val="00D525CC"/>
    <w:rsid w:val="00D52619"/>
    <w:rsid w:val="00D526D1"/>
    <w:rsid w:val="00D52A19"/>
    <w:rsid w:val="00D52A20"/>
    <w:rsid w:val="00D52ECB"/>
    <w:rsid w:val="00D52FB3"/>
    <w:rsid w:val="00D534BD"/>
    <w:rsid w:val="00D5358F"/>
    <w:rsid w:val="00D53DBD"/>
    <w:rsid w:val="00D53E7B"/>
    <w:rsid w:val="00D54097"/>
    <w:rsid w:val="00D5424A"/>
    <w:rsid w:val="00D5451E"/>
    <w:rsid w:val="00D54688"/>
    <w:rsid w:val="00D54847"/>
    <w:rsid w:val="00D54953"/>
    <w:rsid w:val="00D54B5A"/>
    <w:rsid w:val="00D54C10"/>
    <w:rsid w:val="00D54C9F"/>
    <w:rsid w:val="00D5504C"/>
    <w:rsid w:val="00D55235"/>
    <w:rsid w:val="00D554FB"/>
    <w:rsid w:val="00D55DFD"/>
    <w:rsid w:val="00D55F73"/>
    <w:rsid w:val="00D560A3"/>
    <w:rsid w:val="00D56154"/>
    <w:rsid w:val="00D5638D"/>
    <w:rsid w:val="00D56EAA"/>
    <w:rsid w:val="00D56F6E"/>
    <w:rsid w:val="00D56F90"/>
    <w:rsid w:val="00D576BE"/>
    <w:rsid w:val="00D57714"/>
    <w:rsid w:val="00D57E48"/>
    <w:rsid w:val="00D6002D"/>
    <w:rsid w:val="00D608C2"/>
    <w:rsid w:val="00D60EDA"/>
    <w:rsid w:val="00D60FD8"/>
    <w:rsid w:val="00D6103E"/>
    <w:rsid w:val="00D61615"/>
    <w:rsid w:val="00D61A71"/>
    <w:rsid w:val="00D61BDE"/>
    <w:rsid w:val="00D61D22"/>
    <w:rsid w:val="00D61E80"/>
    <w:rsid w:val="00D623D5"/>
    <w:rsid w:val="00D624D1"/>
    <w:rsid w:val="00D626DE"/>
    <w:rsid w:val="00D62871"/>
    <w:rsid w:val="00D6298E"/>
    <w:rsid w:val="00D62CBE"/>
    <w:rsid w:val="00D6307F"/>
    <w:rsid w:val="00D631B0"/>
    <w:rsid w:val="00D63435"/>
    <w:rsid w:val="00D63607"/>
    <w:rsid w:val="00D636B7"/>
    <w:rsid w:val="00D63C1F"/>
    <w:rsid w:val="00D63CD7"/>
    <w:rsid w:val="00D63D41"/>
    <w:rsid w:val="00D63E37"/>
    <w:rsid w:val="00D63F87"/>
    <w:rsid w:val="00D64746"/>
    <w:rsid w:val="00D64752"/>
    <w:rsid w:val="00D648B8"/>
    <w:rsid w:val="00D649DD"/>
    <w:rsid w:val="00D65357"/>
    <w:rsid w:val="00D655FB"/>
    <w:rsid w:val="00D656FB"/>
    <w:rsid w:val="00D663B5"/>
    <w:rsid w:val="00D66432"/>
    <w:rsid w:val="00D666C4"/>
    <w:rsid w:val="00D667CF"/>
    <w:rsid w:val="00D66B81"/>
    <w:rsid w:val="00D66FAA"/>
    <w:rsid w:val="00D672FD"/>
    <w:rsid w:val="00D67476"/>
    <w:rsid w:val="00D677D2"/>
    <w:rsid w:val="00D67BC6"/>
    <w:rsid w:val="00D70E23"/>
    <w:rsid w:val="00D70F9D"/>
    <w:rsid w:val="00D7100A"/>
    <w:rsid w:val="00D71526"/>
    <w:rsid w:val="00D71AF3"/>
    <w:rsid w:val="00D72310"/>
    <w:rsid w:val="00D72436"/>
    <w:rsid w:val="00D72602"/>
    <w:rsid w:val="00D728A3"/>
    <w:rsid w:val="00D728D8"/>
    <w:rsid w:val="00D7295F"/>
    <w:rsid w:val="00D73117"/>
    <w:rsid w:val="00D733DD"/>
    <w:rsid w:val="00D739CC"/>
    <w:rsid w:val="00D73A5A"/>
    <w:rsid w:val="00D73CDB"/>
    <w:rsid w:val="00D73CEF"/>
    <w:rsid w:val="00D73D4A"/>
    <w:rsid w:val="00D73F0B"/>
    <w:rsid w:val="00D74085"/>
    <w:rsid w:val="00D740B1"/>
    <w:rsid w:val="00D741F7"/>
    <w:rsid w:val="00D7452E"/>
    <w:rsid w:val="00D746BD"/>
    <w:rsid w:val="00D748CB"/>
    <w:rsid w:val="00D74AF0"/>
    <w:rsid w:val="00D74C5C"/>
    <w:rsid w:val="00D74CD5"/>
    <w:rsid w:val="00D75211"/>
    <w:rsid w:val="00D752C0"/>
    <w:rsid w:val="00D75786"/>
    <w:rsid w:val="00D75AF7"/>
    <w:rsid w:val="00D76211"/>
    <w:rsid w:val="00D7622B"/>
    <w:rsid w:val="00D7684F"/>
    <w:rsid w:val="00D76A4F"/>
    <w:rsid w:val="00D76CE8"/>
    <w:rsid w:val="00D76FCD"/>
    <w:rsid w:val="00D771FC"/>
    <w:rsid w:val="00D77807"/>
    <w:rsid w:val="00D77FEC"/>
    <w:rsid w:val="00D8001D"/>
    <w:rsid w:val="00D807E5"/>
    <w:rsid w:val="00D80966"/>
    <w:rsid w:val="00D80CB1"/>
    <w:rsid w:val="00D80CEA"/>
    <w:rsid w:val="00D81110"/>
    <w:rsid w:val="00D8127F"/>
    <w:rsid w:val="00D81697"/>
    <w:rsid w:val="00D82175"/>
    <w:rsid w:val="00D826C8"/>
    <w:rsid w:val="00D829DE"/>
    <w:rsid w:val="00D82C3A"/>
    <w:rsid w:val="00D82DBE"/>
    <w:rsid w:val="00D82EA2"/>
    <w:rsid w:val="00D83224"/>
    <w:rsid w:val="00D83C4A"/>
    <w:rsid w:val="00D84527"/>
    <w:rsid w:val="00D8456B"/>
    <w:rsid w:val="00D8489D"/>
    <w:rsid w:val="00D84C46"/>
    <w:rsid w:val="00D851EB"/>
    <w:rsid w:val="00D85266"/>
    <w:rsid w:val="00D85800"/>
    <w:rsid w:val="00D85A5F"/>
    <w:rsid w:val="00D85C3B"/>
    <w:rsid w:val="00D8605E"/>
    <w:rsid w:val="00D86EFE"/>
    <w:rsid w:val="00D870FA"/>
    <w:rsid w:val="00D87566"/>
    <w:rsid w:val="00D875DF"/>
    <w:rsid w:val="00D87790"/>
    <w:rsid w:val="00D87B19"/>
    <w:rsid w:val="00D906C7"/>
    <w:rsid w:val="00D90964"/>
    <w:rsid w:val="00D910D9"/>
    <w:rsid w:val="00D9135A"/>
    <w:rsid w:val="00D91593"/>
    <w:rsid w:val="00D919A7"/>
    <w:rsid w:val="00D91B82"/>
    <w:rsid w:val="00D92197"/>
    <w:rsid w:val="00D92322"/>
    <w:rsid w:val="00D92600"/>
    <w:rsid w:val="00D926A0"/>
    <w:rsid w:val="00D926AE"/>
    <w:rsid w:val="00D927C4"/>
    <w:rsid w:val="00D92827"/>
    <w:rsid w:val="00D92A0F"/>
    <w:rsid w:val="00D92A23"/>
    <w:rsid w:val="00D92F48"/>
    <w:rsid w:val="00D92F71"/>
    <w:rsid w:val="00D92F8E"/>
    <w:rsid w:val="00D93207"/>
    <w:rsid w:val="00D933E3"/>
    <w:rsid w:val="00D93C28"/>
    <w:rsid w:val="00D941C7"/>
    <w:rsid w:val="00D943E4"/>
    <w:rsid w:val="00D948F9"/>
    <w:rsid w:val="00D94E4D"/>
    <w:rsid w:val="00D94ECD"/>
    <w:rsid w:val="00D94F6E"/>
    <w:rsid w:val="00D956F7"/>
    <w:rsid w:val="00D9570F"/>
    <w:rsid w:val="00D95A1F"/>
    <w:rsid w:val="00D9655C"/>
    <w:rsid w:val="00D96FE8"/>
    <w:rsid w:val="00D970BD"/>
    <w:rsid w:val="00D974A8"/>
    <w:rsid w:val="00DA07B8"/>
    <w:rsid w:val="00DA07CF"/>
    <w:rsid w:val="00DA0A67"/>
    <w:rsid w:val="00DA0D03"/>
    <w:rsid w:val="00DA0ED2"/>
    <w:rsid w:val="00DA11BF"/>
    <w:rsid w:val="00DA14F7"/>
    <w:rsid w:val="00DA1EF4"/>
    <w:rsid w:val="00DA2187"/>
    <w:rsid w:val="00DA21EC"/>
    <w:rsid w:val="00DA2200"/>
    <w:rsid w:val="00DA22F6"/>
    <w:rsid w:val="00DA2342"/>
    <w:rsid w:val="00DA24B1"/>
    <w:rsid w:val="00DA25DE"/>
    <w:rsid w:val="00DA2A92"/>
    <w:rsid w:val="00DA2FD9"/>
    <w:rsid w:val="00DA3367"/>
    <w:rsid w:val="00DA36D1"/>
    <w:rsid w:val="00DA374D"/>
    <w:rsid w:val="00DA37AF"/>
    <w:rsid w:val="00DA37CA"/>
    <w:rsid w:val="00DA3804"/>
    <w:rsid w:val="00DA3916"/>
    <w:rsid w:val="00DA3C5A"/>
    <w:rsid w:val="00DA4175"/>
    <w:rsid w:val="00DA4EB5"/>
    <w:rsid w:val="00DA4F65"/>
    <w:rsid w:val="00DA4F70"/>
    <w:rsid w:val="00DA5204"/>
    <w:rsid w:val="00DA566A"/>
    <w:rsid w:val="00DA5947"/>
    <w:rsid w:val="00DA5DBE"/>
    <w:rsid w:val="00DA5F77"/>
    <w:rsid w:val="00DA6279"/>
    <w:rsid w:val="00DA62B2"/>
    <w:rsid w:val="00DA6B6F"/>
    <w:rsid w:val="00DA73CC"/>
    <w:rsid w:val="00DA775D"/>
    <w:rsid w:val="00DA79D1"/>
    <w:rsid w:val="00DA7D97"/>
    <w:rsid w:val="00DA7E81"/>
    <w:rsid w:val="00DB0396"/>
    <w:rsid w:val="00DB0A52"/>
    <w:rsid w:val="00DB0F03"/>
    <w:rsid w:val="00DB10F5"/>
    <w:rsid w:val="00DB11C3"/>
    <w:rsid w:val="00DB12CB"/>
    <w:rsid w:val="00DB15DE"/>
    <w:rsid w:val="00DB18D9"/>
    <w:rsid w:val="00DB298D"/>
    <w:rsid w:val="00DB3644"/>
    <w:rsid w:val="00DB37F1"/>
    <w:rsid w:val="00DB3864"/>
    <w:rsid w:val="00DB39CC"/>
    <w:rsid w:val="00DB39D1"/>
    <w:rsid w:val="00DB3D64"/>
    <w:rsid w:val="00DB3EDE"/>
    <w:rsid w:val="00DB47F0"/>
    <w:rsid w:val="00DB4FE6"/>
    <w:rsid w:val="00DB51D4"/>
    <w:rsid w:val="00DB5280"/>
    <w:rsid w:val="00DB52BF"/>
    <w:rsid w:val="00DB5548"/>
    <w:rsid w:val="00DB59F1"/>
    <w:rsid w:val="00DB5BFE"/>
    <w:rsid w:val="00DB5E31"/>
    <w:rsid w:val="00DB6427"/>
    <w:rsid w:val="00DB717D"/>
    <w:rsid w:val="00DB7396"/>
    <w:rsid w:val="00DB7851"/>
    <w:rsid w:val="00DB785B"/>
    <w:rsid w:val="00DB78BE"/>
    <w:rsid w:val="00DB7A52"/>
    <w:rsid w:val="00DB7C09"/>
    <w:rsid w:val="00DB7FC3"/>
    <w:rsid w:val="00DC0709"/>
    <w:rsid w:val="00DC07EB"/>
    <w:rsid w:val="00DC102C"/>
    <w:rsid w:val="00DC10CB"/>
    <w:rsid w:val="00DC1362"/>
    <w:rsid w:val="00DC16FD"/>
    <w:rsid w:val="00DC1999"/>
    <w:rsid w:val="00DC19F2"/>
    <w:rsid w:val="00DC1A2E"/>
    <w:rsid w:val="00DC1EA7"/>
    <w:rsid w:val="00DC1EBF"/>
    <w:rsid w:val="00DC2889"/>
    <w:rsid w:val="00DC291F"/>
    <w:rsid w:val="00DC2951"/>
    <w:rsid w:val="00DC30DC"/>
    <w:rsid w:val="00DC3869"/>
    <w:rsid w:val="00DC38C9"/>
    <w:rsid w:val="00DC3C49"/>
    <w:rsid w:val="00DC3CCA"/>
    <w:rsid w:val="00DC3D05"/>
    <w:rsid w:val="00DC3D2F"/>
    <w:rsid w:val="00DC3DF1"/>
    <w:rsid w:val="00DC4240"/>
    <w:rsid w:val="00DC42ED"/>
    <w:rsid w:val="00DC4614"/>
    <w:rsid w:val="00DC48AB"/>
    <w:rsid w:val="00DC4EAC"/>
    <w:rsid w:val="00DC50BD"/>
    <w:rsid w:val="00DC5111"/>
    <w:rsid w:val="00DC5953"/>
    <w:rsid w:val="00DC5B19"/>
    <w:rsid w:val="00DC5F03"/>
    <w:rsid w:val="00DC5FD9"/>
    <w:rsid w:val="00DC60A7"/>
    <w:rsid w:val="00DC62FD"/>
    <w:rsid w:val="00DC64F6"/>
    <w:rsid w:val="00DC66BE"/>
    <w:rsid w:val="00DC6713"/>
    <w:rsid w:val="00DC6AEA"/>
    <w:rsid w:val="00DC7503"/>
    <w:rsid w:val="00DC784B"/>
    <w:rsid w:val="00DC7A47"/>
    <w:rsid w:val="00DD07AE"/>
    <w:rsid w:val="00DD089D"/>
    <w:rsid w:val="00DD0D45"/>
    <w:rsid w:val="00DD1098"/>
    <w:rsid w:val="00DD1B30"/>
    <w:rsid w:val="00DD1BD3"/>
    <w:rsid w:val="00DD2174"/>
    <w:rsid w:val="00DD25C3"/>
    <w:rsid w:val="00DD279C"/>
    <w:rsid w:val="00DD293F"/>
    <w:rsid w:val="00DD2CA9"/>
    <w:rsid w:val="00DD35CF"/>
    <w:rsid w:val="00DD362E"/>
    <w:rsid w:val="00DD3D93"/>
    <w:rsid w:val="00DD3E8A"/>
    <w:rsid w:val="00DD42BC"/>
    <w:rsid w:val="00DD51F1"/>
    <w:rsid w:val="00DD5BF4"/>
    <w:rsid w:val="00DD5F02"/>
    <w:rsid w:val="00DD61D9"/>
    <w:rsid w:val="00DD69C3"/>
    <w:rsid w:val="00DD727B"/>
    <w:rsid w:val="00DD7568"/>
    <w:rsid w:val="00DD7684"/>
    <w:rsid w:val="00DD77CA"/>
    <w:rsid w:val="00DD79C9"/>
    <w:rsid w:val="00DD7CAF"/>
    <w:rsid w:val="00DD7D18"/>
    <w:rsid w:val="00DE02CF"/>
    <w:rsid w:val="00DE0969"/>
    <w:rsid w:val="00DE0DDD"/>
    <w:rsid w:val="00DE0E7E"/>
    <w:rsid w:val="00DE0FD9"/>
    <w:rsid w:val="00DE11EB"/>
    <w:rsid w:val="00DE123C"/>
    <w:rsid w:val="00DE13D0"/>
    <w:rsid w:val="00DE1685"/>
    <w:rsid w:val="00DE1839"/>
    <w:rsid w:val="00DE1BF6"/>
    <w:rsid w:val="00DE1C0D"/>
    <w:rsid w:val="00DE1D1F"/>
    <w:rsid w:val="00DE1DBE"/>
    <w:rsid w:val="00DE2068"/>
    <w:rsid w:val="00DE26B2"/>
    <w:rsid w:val="00DE2BDD"/>
    <w:rsid w:val="00DE3171"/>
    <w:rsid w:val="00DE3433"/>
    <w:rsid w:val="00DE40B0"/>
    <w:rsid w:val="00DE4325"/>
    <w:rsid w:val="00DE44AD"/>
    <w:rsid w:val="00DE4652"/>
    <w:rsid w:val="00DE4E1C"/>
    <w:rsid w:val="00DE51B6"/>
    <w:rsid w:val="00DE52A5"/>
    <w:rsid w:val="00DE5546"/>
    <w:rsid w:val="00DE57B1"/>
    <w:rsid w:val="00DE6090"/>
    <w:rsid w:val="00DE63EC"/>
    <w:rsid w:val="00DE6517"/>
    <w:rsid w:val="00DE65EA"/>
    <w:rsid w:val="00DE71C2"/>
    <w:rsid w:val="00DE77F7"/>
    <w:rsid w:val="00DE7989"/>
    <w:rsid w:val="00DE7A99"/>
    <w:rsid w:val="00DE7D2F"/>
    <w:rsid w:val="00DE7F8F"/>
    <w:rsid w:val="00DF027F"/>
    <w:rsid w:val="00DF0287"/>
    <w:rsid w:val="00DF1388"/>
    <w:rsid w:val="00DF1523"/>
    <w:rsid w:val="00DF17E8"/>
    <w:rsid w:val="00DF1AF3"/>
    <w:rsid w:val="00DF209A"/>
    <w:rsid w:val="00DF26B4"/>
    <w:rsid w:val="00DF2AD0"/>
    <w:rsid w:val="00DF2AF7"/>
    <w:rsid w:val="00DF3384"/>
    <w:rsid w:val="00DF35A4"/>
    <w:rsid w:val="00DF3633"/>
    <w:rsid w:val="00DF3A3E"/>
    <w:rsid w:val="00DF3C44"/>
    <w:rsid w:val="00DF3CE6"/>
    <w:rsid w:val="00DF45B9"/>
    <w:rsid w:val="00DF46B2"/>
    <w:rsid w:val="00DF496C"/>
    <w:rsid w:val="00DF4B3A"/>
    <w:rsid w:val="00DF4C5B"/>
    <w:rsid w:val="00DF5002"/>
    <w:rsid w:val="00DF51F4"/>
    <w:rsid w:val="00DF582B"/>
    <w:rsid w:val="00DF59D1"/>
    <w:rsid w:val="00DF5A59"/>
    <w:rsid w:val="00DF5AEE"/>
    <w:rsid w:val="00DF5D61"/>
    <w:rsid w:val="00DF622E"/>
    <w:rsid w:val="00DF656D"/>
    <w:rsid w:val="00DF6621"/>
    <w:rsid w:val="00DF66FF"/>
    <w:rsid w:val="00DF6C41"/>
    <w:rsid w:val="00DF6F26"/>
    <w:rsid w:val="00DF758B"/>
    <w:rsid w:val="00DF797E"/>
    <w:rsid w:val="00DF7A57"/>
    <w:rsid w:val="00DF7A77"/>
    <w:rsid w:val="00E00682"/>
    <w:rsid w:val="00E00708"/>
    <w:rsid w:val="00E0072F"/>
    <w:rsid w:val="00E00ACA"/>
    <w:rsid w:val="00E00D34"/>
    <w:rsid w:val="00E00E4A"/>
    <w:rsid w:val="00E00F5E"/>
    <w:rsid w:val="00E013F3"/>
    <w:rsid w:val="00E01AC8"/>
    <w:rsid w:val="00E01CEA"/>
    <w:rsid w:val="00E01F98"/>
    <w:rsid w:val="00E020B2"/>
    <w:rsid w:val="00E0273E"/>
    <w:rsid w:val="00E03016"/>
    <w:rsid w:val="00E030F3"/>
    <w:rsid w:val="00E03306"/>
    <w:rsid w:val="00E03311"/>
    <w:rsid w:val="00E03783"/>
    <w:rsid w:val="00E03818"/>
    <w:rsid w:val="00E03C85"/>
    <w:rsid w:val="00E041CB"/>
    <w:rsid w:val="00E0448F"/>
    <w:rsid w:val="00E04548"/>
    <w:rsid w:val="00E04565"/>
    <w:rsid w:val="00E04722"/>
    <w:rsid w:val="00E0479E"/>
    <w:rsid w:val="00E0487F"/>
    <w:rsid w:val="00E04D76"/>
    <w:rsid w:val="00E058A9"/>
    <w:rsid w:val="00E05A69"/>
    <w:rsid w:val="00E05AD8"/>
    <w:rsid w:val="00E0624C"/>
    <w:rsid w:val="00E066B9"/>
    <w:rsid w:val="00E0670C"/>
    <w:rsid w:val="00E0685C"/>
    <w:rsid w:val="00E068DC"/>
    <w:rsid w:val="00E07299"/>
    <w:rsid w:val="00E072D0"/>
    <w:rsid w:val="00E07ADC"/>
    <w:rsid w:val="00E07F3D"/>
    <w:rsid w:val="00E105A3"/>
    <w:rsid w:val="00E10678"/>
    <w:rsid w:val="00E10771"/>
    <w:rsid w:val="00E1088D"/>
    <w:rsid w:val="00E109D0"/>
    <w:rsid w:val="00E10B7B"/>
    <w:rsid w:val="00E10C3F"/>
    <w:rsid w:val="00E111A5"/>
    <w:rsid w:val="00E11307"/>
    <w:rsid w:val="00E1150F"/>
    <w:rsid w:val="00E1250C"/>
    <w:rsid w:val="00E125FB"/>
    <w:rsid w:val="00E12AB7"/>
    <w:rsid w:val="00E12C15"/>
    <w:rsid w:val="00E12FF9"/>
    <w:rsid w:val="00E1302F"/>
    <w:rsid w:val="00E1303D"/>
    <w:rsid w:val="00E135F8"/>
    <w:rsid w:val="00E137A0"/>
    <w:rsid w:val="00E13F42"/>
    <w:rsid w:val="00E1439B"/>
    <w:rsid w:val="00E14517"/>
    <w:rsid w:val="00E14683"/>
    <w:rsid w:val="00E148B3"/>
    <w:rsid w:val="00E14AC5"/>
    <w:rsid w:val="00E14BDB"/>
    <w:rsid w:val="00E14DEB"/>
    <w:rsid w:val="00E14E48"/>
    <w:rsid w:val="00E14ED6"/>
    <w:rsid w:val="00E16259"/>
    <w:rsid w:val="00E1662B"/>
    <w:rsid w:val="00E16C2F"/>
    <w:rsid w:val="00E16CE7"/>
    <w:rsid w:val="00E1708D"/>
    <w:rsid w:val="00E17546"/>
    <w:rsid w:val="00E17989"/>
    <w:rsid w:val="00E17CAB"/>
    <w:rsid w:val="00E17D0B"/>
    <w:rsid w:val="00E20730"/>
    <w:rsid w:val="00E20976"/>
    <w:rsid w:val="00E20B73"/>
    <w:rsid w:val="00E20D07"/>
    <w:rsid w:val="00E2145A"/>
    <w:rsid w:val="00E21591"/>
    <w:rsid w:val="00E21943"/>
    <w:rsid w:val="00E21F56"/>
    <w:rsid w:val="00E220FF"/>
    <w:rsid w:val="00E22310"/>
    <w:rsid w:val="00E22597"/>
    <w:rsid w:val="00E22B17"/>
    <w:rsid w:val="00E23246"/>
    <w:rsid w:val="00E2355E"/>
    <w:rsid w:val="00E236C5"/>
    <w:rsid w:val="00E2382D"/>
    <w:rsid w:val="00E23A47"/>
    <w:rsid w:val="00E23B56"/>
    <w:rsid w:val="00E24112"/>
    <w:rsid w:val="00E244E4"/>
    <w:rsid w:val="00E2458D"/>
    <w:rsid w:val="00E2490C"/>
    <w:rsid w:val="00E24A22"/>
    <w:rsid w:val="00E24E48"/>
    <w:rsid w:val="00E24E99"/>
    <w:rsid w:val="00E25078"/>
    <w:rsid w:val="00E25539"/>
    <w:rsid w:val="00E25560"/>
    <w:rsid w:val="00E25AA9"/>
    <w:rsid w:val="00E25B5F"/>
    <w:rsid w:val="00E25CA8"/>
    <w:rsid w:val="00E25F41"/>
    <w:rsid w:val="00E262B6"/>
    <w:rsid w:val="00E26417"/>
    <w:rsid w:val="00E26464"/>
    <w:rsid w:val="00E269CB"/>
    <w:rsid w:val="00E26B21"/>
    <w:rsid w:val="00E26BF0"/>
    <w:rsid w:val="00E27311"/>
    <w:rsid w:val="00E2D6A9"/>
    <w:rsid w:val="00E30125"/>
    <w:rsid w:val="00E3026F"/>
    <w:rsid w:val="00E303C5"/>
    <w:rsid w:val="00E307D3"/>
    <w:rsid w:val="00E30AE1"/>
    <w:rsid w:val="00E30F49"/>
    <w:rsid w:val="00E31052"/>
    <w:rsid w:val="00E310C1"/>
    <w:rsid w:val="00E310FB"/>
    <w:rsid w:val="00E3148E"/>
    <w:rsid w:val="00E3163E"/>
    <w:rsid w:val="00E318C8"/>
    <w:rsid w:val="00E32096"/>
    <w:rsid w:val="00E337E0"/>
    <w:rsid w:val="00E33C40"/>
    <w:rsid w:val="00E341F7"/>
    <w:rsid w:val="00E3438C"/>
    <w:rsid w:val="00E34695"/>
    <w:rsid w:val="00E35192"/>
    <w:rsid w:val="00E351F7"/>
    <w:rsid w:val="00E35325"/>
    <w:rsid w:val="00E353A7"/>
    <w:rsid w:val="00E35702"/>
    <w:rsid w:val="00E357C4"/>
    <w:rsid w:val="00E358FF"/>
    <w:rsid w:val="00E35C2A"/>
    <w:rsid w:val="00E35CAB"/>
    <w:rsid w:val="00E35F82"/>
    <w:rsid w:val="00E365A8"/>
    <w:rsid w:val="00E36710"/>
    <w:rsid w:val="00E36960"/>
    <w:rsid w:val="00E37257"/>
    <w:rsid w:val="00E372DE"/>
    <w:rsid w:val="00E37646"/>
    <w:rsid w:val="00E3795E"/>
    <w:rsid w:val="00E37B92"/>
    <w:rsid w:val="00E37BB4"/>
    <w:rsid w:val="00E37EFD"/>
    <w:rsid w:val="00E40020"/>
    <w:rsid w:val="00E40ACA"/>
    <w:rsid w:val="00E40AE1"/>
    <w:rsid w:val="00E40E0D"/>
    <w:rsid w:val="00E40E17"/>
    <w:rsid w:val="00E414C4"/>
    <w:rsid w:val="00E415FD"/>
    <w:rsid w:val="00E4164E"/>
    <w:rsid w:val="00E41777"/>
    <w:rsid w:val="00E41907"/>
    <w:rsid w:val="00E41A0A"/>
    <w:rsid w:val="00E41F6D"/>
    <w:rsid w:val="00E423F4"/>
    <w:rsid w:val="00E42840"/>
    <w:rsid w:val="00E4332B"/>
    <w:rsid w:val="00E437DD"/>
    <w:rsid w:val="00E438DA"/>
    <w:rsid w:val="00E439DC"/>
    <w:rsid w:val="00E43AC4"/>
    <w:rsid w:val="00E4431C"/>
    <w:rsid w:val="00E444FA"/>
    <w:rsid w:val="00E44A0C"/>
    <w:rsid w:val="00E44A62"/>
    <w:rsid w:val="00E44DE3"/>
    <w:rsid w:val="00E45174"/>
    <w:rsid w:val="00E452C8"/>
    <w:rsid w:val="00E45399"/>
    <w:rsid w:val="00E45547"/>
    <w:rsid w:val="00E4557D"/>
    <w:rsid w:val="00E4662B"/>
    <w:rsid w:val="00E467D0"/>
    <w:rsid w:val="00E468F4"/>
    <w:rsid w:val="00E46D25"/>
    <w:rsid w:val="00E4714E"/>
    <w:rsid w:val="00E47803"/>
    <w:rsid w:val="00E47D73"/>
    <w:rsid w:val="00E5047E"/>
    <w:rsid w:val="00E50621"/>
    <w:rsid w:val="00E5063C"/>
    <w:rsid w:val="00E50643"/>
    <w:rsid w:val="00E50670"/>
    <w:rsid w:val="00E508A5"/>
    <w:rsid w:val="00E5129A"/>
    <w:rsid w:val="00E512DD"/>
    <w:rsid w:val="00E516E0"/>
    <w:rsid w:val="00E518A5"/>
    <w:rsid w:val="00E51C5D"/>
    <w:rsid w:val="00E51EFF"/>
    <w:rsid w:val="00E52196"/>
    <w:rsid w:val="00E524A1"/>
    <w:rsid w:val="00E5268D"/>
    <w:rsid w:val="00E52845"/>
    <w:rsid w:val="00E52B1F"/>
    <w:rsid w:val="00E533C0"/>
    <w:rsid w:val="00E53492"/>
    <w:rsid w:val="00E53589"/>
    <w:rsid w:val="00E536EE"/>
    <w:rsid w:val="00E53B06"/>
    <w:rsid w:val="00E54096"/>
    <w:rsid w:val="00E540E4"/>
    <w:rsid w:val="00E546F8"/>
    <w:rsid w:val="00E54B82"/>
    <w:rsid w:val="00E553AE"/>
    <w:rsid w:val="00E556FF"/>
    <w:rsid w:val="00E55722"/>
    <w:rsid w:val="00E55EA9"/>
    <w:rsid w:val="00E55EAF"/>
    <w:rsid w:val="00E55FF8"/>
    <w:rsid w:val="00E566A2"/>
    <w:rsid w:val="00E566BC"/>
    <w:rsid w:val="00E56759"/>
    <w:rsid w:val="00E5680E"/>
    <w:rsid w:val="00E56C28"/>
    <w:rsid w:val="00E570AC"/>
    <w:rsid w:val="00E570F2"/>
    <w:rsid w:val="00E5732A"/>
    <w:rsid w:val="00E6017E"/>
    <w:rsid w:val="00E6039F"/>
    <w:rsid w:val="00E608EF"/>
    <w:rsid w:val="00E61186"/>
    <w:rsid w:val="00E62504"/>
    <w:rsid w:val="00E6269E"/>
    <w:rsid w:val="00E62A84"/>
    <w:rsid w:val="00E62C97"/>
    <w:rsid w:val="00E62CAC"/>
    <w:rsid w:val="00E62EA3"/>
    <w:rsid w:val="00E62EBE"/>
    <w:rsid w:val="00E62EE6"/>
    <w:rsid w:val="00E63407"/>
    <w:rsid w:val="00E63605"/>
    <w:rsid w:val="00E636CD"/>
    <w:rsid w:val="00E63843"/>
    <w:rsid w:val="00E63ECB"/>
    <w:rsid w:val="00E64062"/>
    <w:rsid w:val="00E64279"/>
    <w:rsid w:val="00E642EC"/>
    <w:rsid w:val="00E6446A"/>
    <w:rsid w:val="00E6469E"/>
    <w:rsid w:val="00E64A0C"/>
    <w:rsid w:val="00E64AFB"/>
    <w:rsid w:val="00E65289"/>
    <w:rsid w:val="00E65352"/>
    <w:rsid w:val="00E6549C"/>
    <w:rsid w:val="00E655D2"/>
    <w:rsid w:val="00E65756"/>
    <w:rsid w:val="00E66B80"/>
    <w:rsid w:val="00E66C8A"/>
    <w:rsid w:val="00E66FB2"/>
    <w:rsid w:val="00E671D9"/>
    <w:rsid w:val="00E6742A"/>
    <w:rsid w:val="00E67651"/>
    <w:rsid w:val="00E67F78"/>
    <w:rsid w:val="00E70043"/>
    <w:rsid w:val="00E704A6"/>
    <w:rsid w:val="00E71747"/>
    <w:rsid w:val="00E71B55"/>
    <w:rsid w:val="00E7216C"/>
    <w:rsid w:val="00E72412"/>
    <w:rsid w:val="00E724F5"/>
    <w:rsid w:val="00E7254C"/>
    <w:rsid w:val="00E726CA"/>
    <w:rsid w:val="00E726DA"/>
    <w:rsid w:val="00E72707"/>
    <w:rsid w:val="00E729CB"/>
    <w:rsid w:val="00E72EF4"/>
    <w:rsid w:val="00E72F2E"/>
    <w:rsid w:val="00E73042"/>
    <w:rsid w:val="00E7306D"/>
    <w:rsid w:val="00E730BB"/>
    <w:rsid w:val="00E73640"/>
    <w:rsid w:val="00E7388E"/>
    <w:rsid w:val="00E73C58"/>
    <w:rsid w:val="00E740F4"/>
    <w:rsid w:val="00E74429"/>
    <w:rsid w:val="00E74447"/>
    <w:rsid w:val="00E74694"/>
    <w:rsid w:val="00E74940"/>
    <w:rsid w:val="00E74BD5"/>
    <w:rsid w:val="00E74C1A"/>
    <w:rsid w:val="00E74C58"/>
    <w:rsid w:val="00E74DB5"/>
    <w:rsid w:val="00E74FDB"/>
    <w:rsid w:val="00E75555"/>
    <w:rsid w:val="00E75A34"/>
    <w:rsid w:val="00E76A08"/>
    <w:rsid w:val="00E76E4A"/>
    <w:rsid w:val="00E76E7E"/>
    <w:rsid w:val="00E7707C"/>
    <w:rsid w:val="00E77224"/>
    <w:rsid w:val="00E7723D"/>
    <w:rsid w:val="00E775D2"/>
    <w:rsid w:val="00E777BE"/>
    <w:rsid w:val="00E77F15"/>
    <w:rsid w:val="00E77F2C"/>
    <w:rsid w:val="00E800B6"/>
    <w:rsid w:val="00E80343"/>
    <w:rsid w:val="00E808FD"/>
    <w:rsid w:val="00E81087"/>
    <w:rsid w:val="00E812FD"/>
    <w:rsid w:val="00E81427"/>
    <w:rsid w:val="00E81733"/>
    <w:rsid w:val="00E81F33"/>
    <w:rsid w:val="00E82448"/>
    <w:rsid w:val="00E824A6"/>
    <w:rsid w:val="00E82582"/>
    <w:rsid w:val="00E8269B"/>
    <w:rsid w:val="00E82790"/>
    <w:rsid w:val="00E82CDD"/>
    <w:rsid w:val="00E83115"/>
    <w:rsid w:val="00E83137"/>
    <w:rsid w:val="00E8373A"/>
    <w:rsid w:val="00E8385D"/>
    <w:rsid w:val="00E83D12"/>
    <w:rsid w:val="00E84293"/>
    <w:rsid w:val="00E8439F"/>
    <w:rsid w:val="00E84653"/>
    <w:rsid w:val="00E84DFB"/>
    <w:rsid w:val="00E850A6"/>
    <w:rsid w:val="00E85CE5"/>
    <w:rsid w:val="00E85FD4"/>
    <w:rsid w:val="00E862EF"/>
    <w:rsid w:val="00E86440"/>
    <w:rsid w:val="00E86517"/>
    <w:rsid w:val="00E8672E"/>
    <w:rsid w:val="00E86CDE"/>
    <w:rsid w:val="00E87095"/>
    <w:rsid w:val="00E8717F"/>
    <w:rsid w:val="00E871C0"/>
    <w:rsid w:val="00E87479"/>
    <w:rsid w:val="00E87684"/>
    <w:rsid w:val="00E87A3B"/>
    <w:rsid w:val="00E87C7E"/>
    <w:rsid w:val="00E87D12"/>
    <w:rsid w:val="00E90225"/>
    <w:rsid w:val="00E90901"/>
    <w:rsid w:val="00E90F45"/>
    <w:rsid w:val="00E9104E"/>
    <w:rsid w:val="00E91409"/>
    <w:rsid w:val="00E91A1B"/>
    <w:rsid w:val="00E91DCD"/>
    <w:rsid w:val="00E91EC0"/>
    <w:rsid w:val="00E91EF5"/>
    <w:rsid w:val="00E92116"/>
    <w:rsid w:val="00E923C2"/>
    <w:rsid w:val="00E92A28"/>
    <w:rsid w:val="00E92A72"/>
    <w:rsid w:val="00E92AE8"/>
    <w:rsid w:val="00E9304E"/>
    <w:rsid w:val="00E9336F"/>
    <w:rsid w:val="00E93430"/>
    <w:rsid w:val="00E93F30"/>
    <w:rsid w:val="00E9427E"/>
    <w:rsid w:val="00E94AF3"/>
    <w:rsid w:val="00E94D9D"/>
    <w:rsid w:val="00E94ED2"/>
    <w:rsid w:val="00E957A9"/>
    <w:rsid w:val="00E957D2"/>
    <w:rsid w:val="00E957FF"/>
    <w:rsid w:val="00E958A7"/>
    <w:rsid w:val="00E95CD5"/>
    <w:rsid w:val="00E95E89"/>
    <w:rsid w:val="00E95FE3"/>
    <w:rsid w:val="00E96189"/>
    <w:rsid w:val="00E966F6"/>
    <w:rsid w:val="00E967E5"/>
    <w:rsid w:val="00E97536"/>
    <w:rsid w:val="00E9790C"/>
    <w:rsid w:val="00E979BF"/>
    <w:rsid w:val="00E97B7B"/>
    <w:rsid w:val="00E97C8E"/>
    <w:rsid w:val="00E97DDF"/>
    <w:rsid w:val="00E97ED6"/>
    <w:rsid w:val="00EA01AC"/>
    <w:rsid w:val="00EA0232"/>
    <w:rsid w:val="00EA02D4"/>
    <w:rsid w:val="00EA049D"/>
    <w:rsid w:val="00EA07CA"/>
    <w:rsid w:val="00EA09DA"/>
    <w:rsid w:val="00EA0AA1"/>
    <w:rsid w:val="00EA0CAE"/>
    <w:rsid w:val="00EA1461"/>
    <w:rsid w:val="00EA161E"/>
    <w:rsid w:val="00EA2581"/>
    <w:rsid w:val="00EA2AE4"/>
    <w:rsid w:val="00EA2BB3"/>
    <w:rsid w:val="00EA31DA"/>
    <w:rsid w:val="00EA31F7"/>
    <w:rsid w:val="00EA3308"/>
    <w:rsid w:val="00EA357B"/>
    <w:rsid w:val="00EA3B05"/>
    <w:rsid w:val="00EA427E"/>
    <w:rsid w:val="00EA4294"/>
    <w:rsid w:val="00EA4883"/>
    <w:rsid w:val="00EA49EE"/>
    <w:rsid w:val="00EA5084"/>
    <w:rsid w:val="00EA5587"/>
    <w:rsid w:val="00EA55A0"/>
    <w:rsid w:val="00EA589C"/>
    <w:rsid w:val="00EA6212"/>
    <w:rsid w:val="00EA6472"/>
    <w:rsid w:val="00EA6696"/>
    <w:rsid w:val="00EA6AAF"/>
    <w:rsid w:val="00EA6B1F"/>
    <w:rsid w:val="00EA6B2D"/>
    <w:rsid w:val="00EA6C13"/>
    <w:rsid w:val="00EA7142"/>
    <w:rsid w:val="00EA7291"/>
    <w:rsid w:val="00EA73F9"/>
    <w:rsid w:val="00EA76A0"/>
    <w:rsid w:val="00EA7CB7"/>
    <w:rsid w:val="00EA7CD6"/>
    <w:rsid w:val="00EA7EEE"/>
    <w:rsid w:val="00EA7F1B"/>
    <w:rsid w:val="00EAA5B2"/>
    <w:rsid w:val="00EB0161"/>
    <w:rsid w:val="00EB06A6"/>
    <w:rsid w:val="00EB0786"/>
    <w:rsid w:val="00EB0907"/>
    <w:rsid w:val="00EB09C1"/>
    <w:rsid w:val="00EB0AA4"/>
    <w:rsid w:val="00EB0D29"/>
    <w:rsid w:val="00EB0DA6"/>
    <w:rsid w:val="00EB0FED"/>
    <w:rsid w:val="00EB1BD2"/>
    <w:rsid w:val="00EB211F"/>
    <w:rsid w:val="00EB2163"/>
    <w:rsid w:val="00EB248E"/>
    <w:rsid w:val="00EB292D"/>
    <w:rsid w:val="00EB2CEC"/>
    <w:rsid w:val="00EB36A4"/>
    <w:rsid w:val="00EB393D"/>
    <w:rsid w:val="00EB3F5C"/>
    <w:rsid w:val="00EB41F9"/>
    <w:rsid w:val="00EB42CC"/>
    <w:rsid w:val="00EB4EF0"/>
    <w:rsid w:val="00EB5C97"/>
    <w:rsid w:val="00EB6191"/>
    <w:rsid w:val="00EB62B1"/>
    <w:rsid w:val="00EB666E"/>
    <w:rsid w:val="00EB6919"/>
    <w:rsid w:val="00EB6B4B"/>
    <w:rsid w:val="00EB74C9"/>
    <w:rsid w:val="00EB7747"/>
    <w:rsid w:val="00EB777C"/>
    <w:rsid w:val="00EB7A17"/>
    <w:rsid w:val="00EB7DF9"/>
    <w:rsid w:val="00EC0173"/>
    <w:rsid w:val="00EC03B6"/>
    <w:rsid w:val="00EC03E5"/>
    <w:rsid w:val="00EC0799"/>
    <w:rsid w:val="00EC0866"/>
    <w:rsid w:val="00EC0EEA"/>
    <w:rsid w:val="00EC1076"/>
    <w:rsid w:val="00EC179B"/>
    <w:rsid w:val="00EC18CC"/>
    <w:rsid w:val="00EC1DE8"/>
    <w:rsid w:val="00EC1F97"/>
    <w:rsid w:val="00EC20D1"/>
    <w:rsid w:val="00EC21F9"/>
    <w:rsid w:val="00EC235A"/>
    <w:rsid w:val="00EC2636"/>
    <w:rsid w:val="00EC2A52"/>
    <w:rsid w:val="00EC2B57"/>
    <w:rsid w:val="00EC2CB5"/>
    <w:rsid w:val="00EC2E64"/>
    <w:rsid w:val="00EC3100"/>
    <w:rsid w:val="00EC3439"/>
    <w:rsid w:val="00EC3442"/>
    <w:rsid w:val="00EC3690"/>
    <w:rsid w:val="00EC38E6"/>
    <w:rsid w:val="00EC44A9"/>
    <w:rsid w:val="00EC4A45"/>
    <w:rsid w:val="00EC4E25"/>
    <w:rsid w:val="00EC4E5D"/>
    <w:rsid w:val="00EC5224"/>
    <w:rsid w:val="00EC533A"/>
    <w:rsid w:val="00EC5554"/>
    <w:rsid w:val="00EC5799"/>
    <w:rsid w:val="00EC586B"/>
    <w:rsid w:val="00EC5B21"/>
    <w:rsid w:val="00EC634D"/>
    <w:rsid w:val="00EC6383"/>
    <w:rsid w:val="00EC6536"/>
    <w:rsid w:val="00EC6C08"/>
    <w:rsid w:val="00EC6D82"/>
    <w:rsid w:val="00EC6EAA"/>
    <w:rsid w:val="00EC6F99"/>
    <w:rsid w:val="00EC70CE"/>
    <w:rsid w:val="00EC733F"/>
    <w:rsid w:val="00EC7A69"/>
    <w:rsid w:val="00EC7C1C"/>
    <w:rsid w:val="00EC7CBE"/>
    <w:rsid w:val="00ED01C7"/>
    <w:rsid w:val="00ED04DF"/>
    <w:rsid w:val="00ED0A7F"/>
    <w:rsid w:val="00ED12ED"/>
    <w:rsid w:val="00ED1522"/>
    <w:rsid w:val="00ED1852"/>
    <w:rsid w:val="00ED191E"/>
    <w:rsid w:val="00ED244A"/>
    <w:rsid w:val="00ED29A8"/>
    <w:rsid w:val="00ED2A6E"/>
    <w:rsid w:val="00ED2DEB"/>
    <w:rsid w:val="00ED2E05"/>
    <w:rsid w:val="00ED31C9"/>
    <w:rsid w:val="00ED33FB"/>
    <w:rsid w:val="00ED34E2"/>
    <w:rsid w:val="00ED38D9"/>
    <w:rsid w:val="00ED3E40"/>
    <w:rsid w:val="00ED4C86"/>
    <w:rsid w:val="00ED4DA6"/>
    <w:rsid w:val="00ED4DB6"/>
    <w:rsid w:val="00ED5031"/>
    <w:rsid w:val="00ED53B8"/>
    <w:rsid w:val="00ED545E"/>
    <w:rsid w:val="00ED5872"/>
    <w:rsid w:val="00ED5A38"/>
    <w:rsid w:val="00ED5B7F"/>
    <w:rsid w:val="00ED5FA7"/>
    <w:rsid w:val="00ED616F"/>
    <w:rsid w:val="00ED631B"/>
    <w:rsid w:val="00ED6749"/>
    <w:rsid w:val="00ED69E4"/>
    <w:rsid w:val="00ED6A3E"/>
    <w:rsid w:val="00ED6C6C"/>
    <w:rsid w:val="00ED6D94"/>
    <w:rsid w:val="00ED6EFB"/>
    <w:rsid w:val="00ED7141"/>
    <w:rsid w:val="00ED7213"/>
    <w:rsid w:val="00ED7685"/>
    <w:rsid w:val="00ED7A07"/>
    <w:rsid w:val="00ED7AD6"/>
    <w:rsid w:val="00ED7B06"/>
    <w:rsid w:val="00ED7BDC"/>
    <w:rsid w:val="00ED7FB2"/>
    <w:rsid w:val="00EE0179"/>
    <w:rsid w:val="00EE07DE"/>
    <w:rsid w:val="00EE0DDF"/>
    <w:rsid w:val="00EE0DFB"/>
    <w:rsid w:val="00EE1328"/>
    <w:rsid w:val="00EE14C0"/>
    <w:rsid w:val="00EE186A"/>
    <w:rsid w:val="00EE1F29"/>
    <w:rsid w:val="00EE26A2"/>
    <w:rsid w:val="00EE2C50"/>
    <w:rsid w:val="00EE339B"/>
    <w:rsid w:val="00EE3796"/>
    <w:rsid w:val="00EE3947"/>
    <w:rsid w:val="00EE3989"/>
    <w:rsid w:val="00EE3BAE"/>
    <w:rsid w:val="00EE3C45"/>
    <w:rsid w:val="00EE3D6A"/>
    <w:rsid w:val="00EE3FFA"/>
    <w:rsid w:val="00EE483D"/>
    <w:rsid w:val="00EE4E9E"/>
    <w:rsid w:val="00EE4F8E"/>
    <w:rsid w:val="00EE505E"/>
    <w:rsid w:val="00EE5097"/>
    <w:rsid w:val="00EE544F"/>
    <w:rsid w:val="00EE5630"/>
    <w:rsid w:val="00EE653B"/>
    <w:rsid w:val="00EE673F"/>
    <w:rsid w:val="00EE685B"/>
    <w:rsid w:val="00EE6952"/>
    <w:rsid w:val="00EE6B14"/>
    <w:rsid w:val="00EE7BEF"/>
    <w:rsid w:val="00EE7C08"/>
    <w:rsid w:val="00EE7E1A"/>
    <w:rsid w:val="00EE7FD4"/>
    <w:rsid w:val="00EF0110"/>
    <w:rsid w:val="00EF0281"/>
    <w:rsid w:val="00EF05D6"/>
    <w:rsid w:val="00EF07FF"/>
    <w:rsid w:val="00EF0B3E"/>
    <w:rsid w:val="00EF1339"/>
    <w:rsid w:val="00EF224B"/>
    <w:rsid w:val="00EF2298"/>
    <w:rsid w:val="00EF23AD"/>
    <w:rsid w:val="00EF23B6"/>
    <w:rsid w:val="00EF249B"/>
    <w:rsid w:val="00EF26B6"/>
    <w:rsid w:val="00EF2AFE"/>
    <w:rsid w:val="00EF2E03"/>
    <w:rsid w:val="00EF2E1D"/>
    <w:rsid w:val="00EF303D"/>
    <w:rsid w:val="00EF3340"/>
    <w:rsid w:val="00EF37F0"/>
    <w:rsid w:val="00EF3856"/>
    <w:rsid w:val="00EF3F3C"/>
    <w:rsid w:val="00EF4002"/>
    <w:rsid w:val="00EF441E"/>
    <w:rsid w:val="00EF4612"/>
    <w:rsid w:val="00EF4F57"/>
    <w:rsid w:val="00EF546C"/>
    <w:rsid w:val="00EF589A"/>
    <w:rsid w:val="00EF621F"/>
    <w:rsid w:val="00EF627D"/>
    <w:rsid w:val="00EF641E"/>
    <w:rsid w:val="00EF6707"/>
    <w:rsid w:val="00EF68BC"/>
    <w:rsid w:val="00EF6E1B"/>
    <w:rsid w:val="00EF7012"/>
    <w:rsid w:val="00EF70CA"/>
    <w:rsid w:val="00EF7A66"/>
    <w:rsid w:val="00EF7A87"/>
    <w:rsid w:val="00EF7D00"/>
    <w:rsid w:val="00EF7DE4"/>
    <w:rsid w:val="00EF7E7D"/>
    <w:rsid w:val="00F00213"/>
    <w:rsid w:val="00F00363"/>
    <w:rsid w:val="00F008FF"/>
    <w:rsid w:val="00F00C9E"/>
    <w:rsid w:val="00F00F97"/>
    <w:rsid w:val="00F0130C"/>
    <w:rsid w:val="00F0177C"/>
    <w:rsid w:val="00F01841"/>
    <w:rsid w:val="00F01955"/>
    <w:rsid w:val="00F01BBB"/>
    <w:rsid w:val="00F01DF5"/>
    <w:rsid w:val="00F01F22"/>
    <w:rsid w:val="00F02105"/>
    <w:rsid w:val="00F0251D"/>
    <w:rsid w:val="00F028E6"/>
    <w:rsid w:val="00F02986"/>
    <w:rsid w:val="00F02BD1"/>
    <w:rsid w:val="00F02C62"/>
    <w:rsid w:val="00F02D0C"/>
    <w:rsid w:val="00F02E20"/>
    <w:rsid w:val="00F02FFB"/>
    <w:rsid w:val="00F03A1A"/>
    <w:rsid w:val="00F04628"/>
    <w:rsid w:val="00F047CD"/>
    <w:rsid w:val="00F04B13"/>
    <w:rsid w:val="00F055A6"/>
    <w:rsid w:val="00F05A2A"/>
    <w:rsid w:val="00F05C8B"/>
    <w:rsid w:val="00F05D7A"/>
    <w:rsid w:val="00F060A9"/>
    <w:rsid w:val="00F0624A"/>
    <w:rsid w:val="00F063F6"/>
    <w:rsid w:val="00F0671A"/>
    <w:rsid w:val="00F07022"/>
    <w:rsid w:val="00F0725A"/>
    <w:rsid w:val="00F0751F"/>
    <w:rsid w:val="00F075C0"/>
    <w:rsid w:val="00F075D4"/>
    <w:rsid w:val="00F07721"/>
    <w:rsid w:val="00F07801"/>
    <w:rsid w:val="00F07A44"/>
    <w:rsid w:val="00F07AC6"/>
    <w:rsid w:val="00F07BAB"/>
    <w:rsid w:val="00F07F26"/>
    <w:rsid w:val="00F09DE4"/>
    <w:rsid w:val="00F10111"/>
    <w:rsid w:val="00F1026E"/>
    <w:rsid w:val="00F10631"/>
    <w:rsid w:val="00F10B38"/>
    <w:rsid w:val="00F11617"/>
    <w:rsid w:val="00F116D0"/>
    <w:rsid w:val="00F117E2"/>
    <w:rsid w:val="00F11CDF"/>
    <w:rsid w:val="00F11EF0"/>
    <w:rsid w:val="00F12153"/>
    <w:rsid w:val="00F122FC"/>
    <w:rsid w:val="00F1284A"/>
    <w:rsid w:val="00F12E47"/>
    <w:rsid w:val="00F12F08"/>
    <w:rsid w:val="00F130EB"/>
    <w:rsid w:val="00F135D3"/>
    <w:rsid w:val="00F1376A"/>
    <w:rsid w:val="00F137EA"/>
    <w:rsid w:val="00F137F4"/>
    <w:rsid w:val="00F141EE"/>
    <w:rsid w:val="00F14384"/>
    <w:rsid w:val="00F144DC"/>
    <w:rsid w:val="00F1459C"/>
    <w:rsid w:val="00F14610"/>
    <w:rsid w:val="00F14868"/>
    <w:rsid w:val="00F149E9"/>
    <w:rsid w:val="00F14ACC"/>
    <w:rsid w:val="00F14CC2"/>
    <w:rsid w:val="00F1543C"/>
    <w:rsid w:val="00F15AEA"/>
    <w:rsid w:val="00F15DFE"/>
    <w:rsid w:val="00F15F4E"/>
    <w:rsid w:val="00F1612C"/>
    <w:rsid w:val="00F1632C"/>
    <w:rsid w:val="00F165A6"/>
    <w:rsid w:val="00F1669F"/>
    <w:rsid w:val="00F169FD"/>
    <w:rsid w:val="00F16CE6"/>
    <w:rsid w:val="00F1725B"/>
    <w:rsid w:val="00F17483"/>
    <w:rsid w:val="00F175FC"/>
    <w:rsid w:val="00F1791F"/>
    <w:rsid w:val="00F1794F"/>
    <w:rsid w:val="00F17E0E"/>
    <w:rsid w:val="00F20154"/>
    <w:rsid w:val="00F203B2"/>
    <w:rsid w:val="00F20A57"/>
    <w:rsid w:val="00F20AC5"/>
    <w:rsid w:val="00F20C76"/>
    <w:rsid w:val="00F20D1D"/>
    <w:rsid w:val="00F2133A"/>
    <w:rsid w:val="00F2138D"/>
    <w:rsid w:val="00F21854"/>
    <w:rsid w:val="00F21B02"/>
    <w:rsid w:val="00F226EB"/>
    <w:rsid w:val="00F22715"/>
    <w:rsid w:val="00F229BE"/>
    <w:rsid w:val="00F22B51"/>
    <w:rsid w:val="00F22BB1"/>
    <w:rsid w:val="00F230E2"/>
    <w:rsid w:val="00F23182"/>
    <w:rsid w:val="00F23CFA"/>
    <w:rsid w:val="00F240C7"/>
    <w:rsid w:val="00F2429A"/>
    <w:rsid w:val="00F242E3"/>
    <w:rsid w:val="00F24354"/>
    <w:rsid w:val="00F2442D"/>
    <w:rsid w:val="00F244B9"/>
    <w:rsid w:val="00F246CE"/>
    <w:rsid w:val="00F24A64"/>
    <w:rsid w:val="00F24AAF"/>
    <w:rsid w:val="00F24DC9"/>
    <w:rsid w:val="00F24FFA"/>
    <w:rsid w:val="00F2510C"/>
    <w:rsid w:val="00F25166"/>
    <w:rsid w:val="00F25501"/>
    <w:rsid w:val="00F2581D"/>
    <w:rsid w:val="00F265DA"/>
    <w:rsid w:val="00F267CD"/>
    <w:rsid w:val="00F26923"/>
    <w:rsid w:val="00F26AF8"/>
    <w:rsid w:val="00F26DDA"/>
    <w:rsid w:val="00F27080"/>
    <w:rsid w:val="00F271A8"/>
    <w:rsid w:val="00F2741A"/>
    <w:rsid w:val="00F278C7"/>
    <w:rsid w:val="00F279AC"/>
    <w:rsid w:val="00F30294"/>
    <w:rsid w:val="00F302F0"/>
    <w:rsid w:val="00F304A3"/>
    <w:rsid w:val="00F30A4B"/>
    <w:rsid w:val="00F30E91"/>
    <w:rsid w:val="00F30E9A"/>
    <w:rsid w:val="00F31614"/>
    <w:rsid w:val="00F3166D"/>
    <w:rsid w:val="00F316B8"/>
    <w:rsid w:val="00F32270"/>
    <w:rsid w:val="00F327CE"/>
    <w:rsid w:val="00F32B70"/>
    <w:rsid w:val="00F32BBF"/>
    <w:rsid w:val="00F32C13"/>
    <w:rsid w:val="00F32D74"/>
    <w:rsid w:val="00F332F4"/>
    <w:rsid w:val="00F33375"/>
    <w:rsid w:val="00F337D7"/>
    <w:rsid w:val="00F349F1"/>
    <w:rsid w:val="00F35AD2"/>
    <w:rsid w:val="00F35C8F"/>
    <w:rsid w:val="00F35E61"/>
    <w:rsid w:val="00F36216"/>
    <w:rsid w:val="00F371EF"/>
    <w:rsid w:val="00F37739"/>
    <w:rsid w:val="00F378B8"/>
    <w:rsid w:val="00F37B6A"/>
    <w:rsid w:val="00F37CFA"/>
    <w:rsid w:val="00F37F2F"/>
    <w:rsid w:val="00F40285"/>
    <w:rsid w:val="00F406CF"/>
    <w:rsid w:val="00F407D3"/>
    <w:rsid w:val="00F40834"/>
    <w:rsid w:val="00F40C10"/>
    <w:rsid w:val="00F40E4A"/>
    <w:rsid w:val="00F40FB2"/>
    <w:rsid w:val="00F41CDF"/>
    <w:rsid w:val="00F41D21"/>
    <w:rsid w:val="00F4267E"/>
    <w:rsid w:val="00F42F46"/>
    <w:rsid w:val="00F42FCC"/>
    <w:rsid w:val="00F43086"/>
    <w:rsid w:val="00F43338"/>
    <w:rsid w:val="00F433C9"/>
    <w:rsid w:val="00F43443"/>
    <w:rsid w:val="00F4367B"/>
    <w:rsid w:val="00F43DDB"/>
    <w:rsid w:val="00F43E0B"/>
    <w:rsid w:val="00F43E2F"/>
    <w:rsid w:val="00F43F79"/>
    <w:rsid w:val="00F442CC"/>
    <w:rsid w:val="00F44DF8"/>
    <w:rsid w:val="00F45380"/>
    <w:rsid w:val="00F455B6"/>
    <w:rsid w:val="00F455EF"/>
    <w:rsid w:val="00F45D3E"/>
    <w:rsid w:val="00F45F49"/>
    <w:rsid w:val="00F45FF2"/>
    <w:rsid w:val="00F463FB"/>
    <w:rsid w:val="00F473DF"/>
    <w:rsid w:val="00F479B2"/>
    <w:rsid w:val="00F47AD2"/>
    <w:rsid w:val="00F50759"/>
    <w:rsid w:val="00F50D5D"/>
    <w:rsid w:val="00F51096"/>
    <w:rsid w:val="00F51248"/>
    <w:rsid w:val="00F51463"/>
    <w:rsid w:val="00F51605"/>
    <w:rsid w:val="00F51D6C"/>
    <w:rsid w:val="00F51DAC"/>
    <w:rsid w:val="00F52459"/>
    <w:rsid w:val="00F52464"/>
    <w:rsid w:val="00F525FD"/>
    <w:rsid w:val="00F52648"/>
    <w:rsid w:val="00F52733"/>
    <w:rsid w:val="00F5276C"/>
    <w:rsid w:val="00F52988"/>
    <w:rsid w:val="00F52D8B"/>
    <w:rsid w:val="00F53126"/>
    <w:rsid w:val="00F53387"/>
    <w:rsid w:val="00F533C4"/>
    <w:rsid w:val="00F53B35"/>
    <w:rsid w:val="00F53C7C"/>
    <w:rsid w:val="00F53D22"/>
    <w:rsid w:val="00F53F00"/>
    <w:rsid w:val="00F5408F"/>
    <w:rsid w:val="00F542A6"/>
    <w:rsid w:val="00F54CD4"/>
    <w:rsid w:val="00F54E55"/>
    <w:rsid w:val="00F5512E"/>
    <w:rsid w:val="00F5529E"/>
    <w:rsid w:val="00F552C4"/>
    <w:rsid w:val="00F553C8"/>
    <w:rsid w:val="00F556EC"/>
    <w:rsid w:val="00F55A0E"/>
    <w:rsid w:val="00F55F6E"/>
    <w:rsid w:val="00F55F75"/>
    <w:rsid w:val="00F56083"/>
    <w:rsid w:val="00F560E1"/>
    <w:rsid w:val="00F562B1"/>
    <w:rsid w:val="00F56306"/>
    <w:rsid w:val="00F56463"/>
    <w:rsid w:val="00F566C0"/>
    <w:rsid w:val="00F5671A"/>
    <w:rsid w:val="00F56934"/>
    <w:rsid w:val="00F5698E"/>
    <w:rsid w:val="00F56A01"/>
    <w:rsid w:val="00F56D52"/>
    <w:rsid w:val="00F56FEF"/>
    <w:rsid w:val="00F5776E"/>
    <w:rsid w:val="00F57787"/>
    <w:rsid w:val="00F578B5"/>
    <w:rsid w:val="00F57B2F"/>
    <w:rsid w:val="00F57FF1"/>
    <w:rsid w:val="00F60A81"/>
    <w:rsid w:val="00F60CE3"/>
    <w:rsid w:val="00F60EEF"/>
    <w:rsid w:val="00F612F7"/>
    <w:rsid w:val="00F61661"/>
    <w:rsid w:val="00F61679"/>
    <w:rsid w:val="00F6169E"/>
    <w:rsid w:val="00F61BBB"/>
    <w:rsid w:val="00F62273"/>
    <w:rsid w:val="00F6233C"/>
    <w:rsid w:val="00F62533"/>
    <w:rsid w:val="00F627C0"/>
    <w:rsid w:val="00F62856"/>
    <w:rsid w:val="00F62AB4"/>
    <w:rsid w:val="00F62FD0"/>
    <w:rsid w:val="00F63213"/>
    <w:rsid w:val="00F633BB"/>
    <w:rsid w:val="00F63569"/>
    <w:rsid w:val="00F63609"/>
    <w:rsid w:val="00F63654"/>
    <w:rsid w:val="00F6423F"/>
    <w:rsid w:val="00F642B7"/>
    <w:rsid w:val="00F64419"/>
    <w:rsid w:val="00F64728"/>
    <w:rsid w:val="00F64A4A"/>
    <w:rsid w:val="00F64AF3"/>
    <w:rsid w:val="00F64B02"/>
    <w:rsid w:val="00F64E5B"/>
    <w:rsid w:val="00F65452"/>
    <w:rsid w:val="00F6566D"/>
    <w:rsid w:val="00F659FB"/>
    <w:rsid w:val="00F65BE7"/>
    <w:rsid w:val="00F66146"/>
    <w:rsid w:val="00F668BD"/>
    <w:rsid w:val="00F66AEC"/>
    <w:rsid w:val="00F66B9C"/>
    <w:rsid w:val="00F66C13"/>
    <w:rsid w:val="00F66CAE"/>
    <w:rsid w:val="00F66DDF"/>
    <w:rsid w:val="00F66E18"/>
    <w:rsid w:val="00F66FFD"/>
    <w:rsid w:val="00F67056"/>
    <w:rsid w:val="00F6753B"/>
    <w:rsid w:val="00F67811"/>
    <w:rsid w:val="00F678E7"/>
    <w:rsid w:val="00F67954"/>
    <w:rsid w:val="00F67DC0"/>
    <w:rsid w:val="00F67FF5"/>
    <w:rsid w:val="00F7030A"/>
    <w:rsid w:val="00F70853"/>
    <w:rsid w:val="00F70BAE"/>
    <w:rsid w:val="00F70D1B"/>
    <w:rsid w:val="00F70D49"/>
    <w:rsid w:val="00F7119A"/>
    <w:rsid w:val="00F71931"/>
    <w:rsid w:val="00F71965"/>
    <w:rsid w:val="00F71BFD"/>
    <w:rsid w:val="00F71DE8"/>
    <w:rsid w:val="00F71FDB"/>
    <w:rsid w:val="00F72665"/>
    <w:rsid w:val="00F7276A"/>
    <w:rsid w:val="00F72C62"/>
    <w:rsid w:val="00F73153"/>
    <w:rsid w:val="00F73162"/>
    <w:rsid w:val="00F731C4"/>
    <w:rsid w:val="00F73310"/>
    <w:rsid w:val="00F734B5"/>
    <w:rsid w:val="00F7375B"/>
    <w:rsid w:val="00F73785"/>
    <w:rsid w:val="00F739C6"/>
    <w:rsid w:val="00F739FA"/>
    <w:rsid w:val="00F73E24"/>
    <w:rsid w:val="00F73E31"/>
    <w:rsid w:val="00F73EEB"/>
    <w:rsid w:val="00F7421B"/>
    <w:rsid w:val="00F745C3"/>
    <w:rsid w:val="00F747AA"/>
    <w:rsid w:val="00F748ED"/>
    <w:rsid w:val="00F74C87"/>
    <w:rsid w:val="00F74ED0"/>
    <w:rsid w:val="00F75024"/>
    <w:rsid w:val="00F755F5"/>
    <w:rsid w:val="00F761C6"/>
    <w:rsid w:val="00F76334"/>
    <w:rsid w:val="00F7646F"/>
    <w:rsid w:val="00F764C5"/>
    <w:rsid w:val="00F76B8B"/>
    <w:rsid w:val="00F771D8"/>
    <w:rsid w:val="00F77340"/>
    <w:rsid w:val="00F776F9"/>
    <w:rsid w:val="00F778EB"/>
    <w:rsid w:val="00F77D38"/>
    <w:rsid w:val="00F805F5"/>
    <w:rsid w:val="00F807EA"/>
    <w:rsid w:val="00F8085E"/>
    <w:rsid w:val="00F80B22"/>
    <w:rsid w:val="00F80C08"/>
    <w:rsid w:val="00F80D3F"/>
    <w:rsid w:val="00F80DF9"/>
    <w:rsid w:val="00F810BC"/>
    <w:rsid w:val="00F811C0"/>
    <w:rsid w:val="00F814A6"/>
    <w:rsid w:val="00F816E8"/>
    <w:rsid w:val="00F81825"/>
    <w:rsid w:val="00F8186A"/>
    <w:rsid w:val="00F818BE"/>
    <w:rsid w:val="00F81EA6"/>
    <w:rsid w:val="00F81F42"/>
    <w:rsid w:val="00F81FB6"/>
    <w:rsid w:val="00F82068"/>
    <w:rsid w:val="00F820C3"/>
    <w:rsid w:val="00F821E3"/>
    <w:rsid w:val="00F8235D"/>
    <w:rsid w:val="00F82834"/>
    <w:rsid w:val="00F82980"/>
    <w:rsid w:val="00F829DC"/>
    <w:rsid w:val="00F82ECE"/>
    <w:rsid w:val="00F8307C"/>
    <w:rsid w:val="00F831D9"/>
    <w:rsid w:val="00F83203"/>
    <w:rsid w:val="00F833F9"/>
    <w:rsid w:val="00F83555"/>
    <w:rsid w:val="00F839C8"/>
    <w:rsid w:val="00F840CF"/>
    <w:rsid w:val="00F842C0"/>
    <w:rsid w:val="00F852AC"/>
    <w:rsid w:val="00F85526"/>
    <w:rsid w:val="00F85966"/>
    <w:rsid w:val="00F85BD4"/>
    <w:rsid w:val="00F867AE"/>
    <w:rsid w:val="00F86877"/>
    <w:rsid w:val="00F868A1"/>
    <w:rsid w:val="00F86A5B"/>
    <w:rsid w:val="00F86E40"/>
    <w:rsid w:val="00F87327"/>
    <w:rsid w:val="00F875A3"/>
    <w:rsid w:val="00F875C0"/>
    <w:rsid w:val="00F876DB"/>
    <w:rsid w:val="00F8796E"/>
    <w:rsid w:val="00F8D975"/>
    <w:rsid w:val="00F9009B"/>
    <w:rsid w:val="00F90525"/>
    <w:rsid w:val="00F90704"/>
    <w:rsid w:val="00F9080F"/>
    <w:rsid w:val="00F9089C"/>
    <w:rsid w:val="00F9161F"/>
    <w:rsid w:val="00F91756"/>
    <w:rsid w:val="00F917C4"/>
    <w:rsid w:val="00F91F14"/>
    <w:rsid w:val="00F920D3"/>
    <w:rsid w:val="00F926AA"/>
    <w:rsid w:val="00F93352"/>
    <w:rsid w:val="00F9336C"/>
    <w:rsid w:val="00F93469"/>
    <w:rsid w:val="00F938B1"/>
    <w:rsid w:val="00F93AD6"/>
    <w:rsid w:val="00F93B77"/>
    <w:rsid w:val="00F93C48"/>
    <w:rsid w:val="00F93CB2"/>
    <w:rsid w:val="00F93E30"/>
    <w:rsid w:val="00F93ED2"/>
    <w:rsid w:val="00F946FB"/>
    <w:rsid w:val="00F94853"/>
    <w:rsid w:val="00F94CB4"/>
    <w:rsid w:val="00F94D85"/>
    <w:rsid w:val="00F9523D"/>
    <w:rsid w:val="00F952CD"/>
    <w:rsid w:val="00F95766"/>
    <w:rsid w:val="00F959B3"/>
    <w:rsid w:val="00F95ACE"/>
    <w:rsid w:val="00F95C7B"/>
    <w:rsid w:val="00F95FAF"/>
    <w:rsid w:val="00F96221"/>
    <w:rsid w:val="00F96960"/>
    <w:rsid w:val="00F96CAC"/>
    <w:rsid w:val="00F96D15"/>
    <w:rsid w:val="00F97532"/>
    <w:rsid w:val="00F9771E"/>
    <w:rsid w:val="00F97DCF"/>
    <w:rsid w:val="00FA010B"/>
    <w:rsid w:val="00FA05E6"/>
    <w:rsid w:val="00FA09EE"/>
    <w:rsid w:val="00FA1090"/>
    <w:rsid w:val="00FA1538"/>
    <w:rsid w:val="00FA15BD"/>
    <w:rsid w:val="00FA17F1"/>
    <w:rsid w:val="00FA1987"/>
    <w:rsid w:val="00FA1AD6"/>
    <w:rsid w:val="00FA1ADD"/>
    <w:rsid w:val="00FA1D06"/>
    <w:rsid w:val="00FA1FDA"/>
    <w:rsid w:val="00FA2012"/>
    <w:rsid w:val="00FA2DB6"/>
    <w:rsid w:val="00FA2E4E"/>
    <w:rsid w:val="00FA30D0"/>
    <w:rsid w:val="00FA3230"/>
    <w:rsid w:val="00FA3467"/>
    <w:rsid w:val="00FA34FA"/>
    <w:rsid w:val="00FA3817"/>
    <w:rsid w:val="00FA3E12"/>
    <w:rsid w:val="00FA3EA5"/>
    <w:rsid w:val="00FA4049"/>
    <w:rsid w:val="00FA47B9"/>
    <w:rsid w:val="00FA48BF"/>
    <w:rsid w:val="00FA4C69"/>
    <w:rsid w:val="00FA4D83"/>
    <w:rsid w:val="00FA4FAA"/>
    <w:rsid w:val="00FA511E"/>
    <w:rsid w:val="00FA520F"/>
    <w:rsid w:val="00FA5623"/>
    <w:rsid w:val="00FA566B"/>
    <w:rsid w:val="00FA598B"/>
    <w:rsid w:val="00FA5B7B"/>
    <w:rsid w:val="00FA5D50"/>
    <w:rsid w:val="00FA6070"/>
    <w:rsid w:val="00FA63A3"/>
    <w:rsid w:val="00FA6AD1"/>
    <w:rsid w:val="00FA6D77"/>
    <w:rsid w:val="00FA6F9E"/>
    <w:rsid w:val="00FA73FB"/>
    <w:rsid w:val="00FA74DA"/>
    <w:rsid w:val="00FA7532"/>
    <w:rsid w:val="00FA7636"/>
    <w:rsid w:val="00FA7FBB"/>
    <w:rsid w:val="00FB00DD"/>
    <w:rsid w:val="00FB0187"/>
    <w:rsid w:val="00FB01DD"/>
    <w:rsid w:val="00FB04D3"/>
    <w:rsid w:val="00FB0B60"/>
    <w:rsid w:val="00FB0CB2"/>
    <w:rsid w:val="00FB0D60"/>
    <w:rsid w:val="00FB0EAE"/>
    <w:rsid w:val="00FB1089"/>
    <w:rsid w:val="00FB1203"/>
    <w:rsid w:val="00FB12F4"/>
    <w:rsid w:val="00FB13EA"/>
    <w:rsid w:val="00FB1CB7"/>
    <w:rsid w:val="00FB21FE"/>
    <w:rsid w:val="00FB25ED"/>
    <w:rsid w:val="00FB27C2"/>
    <w:rsid w:val="00FB2897"/>
    <w:rsid w:val="00FB3366"/>
    <w:rsid w:val="00FB33B9"/>
    <w:rsid w:val="00FB3704"/>
    <w:rsid w:val="00FB37DC"/>
    <w:rsid w:val="00FB3AD4"/>
    <w:rsid w:val="00FB3C82"/>
    <w:rsid w:val="00FB40AB"/>
    <w:rsid w:val="00FB452C"/>
    <w:rsid w:val="00FB4786"/>
    <w:rsid w:val="00FB4BAB"/>
    <w:rsid w:val="00FB4E0B"/>
    <w:rsid w:val="00FB507F"/>
    <w:rsid w:val="00FB559F"/>
    <w:rsid w:val="00FB574F"/>
    <w:rsid w:val="00FB5BA2"/>
    <w:rsid w:val="00FB5E1B"/>
    <w:rsid w:val="00FB5E89"/>
    <w:rsid w:val="00FB6273"/>
    <w:rsid w:val="00FB6557"/>
    <w:rsid w:val="00FB6842"/>
    <w:rsid w:val="00FB6D5A"/>
    <w:rsid w:val="00FB6D7E"/>
    <w:rsid w:val="00FB6FD5"/>
    <w:rsid w:val="00FB71FD"/>
    <w:rsid w:val="00FB742F"/>
    <w:rsid w:val="00FB7D52"/>
    <w:rsid w:val="00FB7E42"/>
    <w:rsid w:val="00FB7E6D"/>
    <w:rsid w:val="00FC0665"/>
    <w:rsid w:val="00FC0B84"/>
    <w:rsid w:val="00FC0F62"/>
    <w:rsid w:val="00FC1991"/>
    <w:rsid w:val="00FC19CC"/>
    <w:rsid w:val="00FC1B8D"/>
    <w:rsid w:val="00FC2172"/>
    <w:rsid w:val="00FC257C"/>
    <w:rsid w:val="00FC2919"/>
    <w:rsid w:val="00FC2AA7"/>
    <w:rsid w:val="00FC2CB9"/>
    <w:rsid w:val="00FC2E3E"/>
    <w:rsid w:val="00FC329C"/>
    <w:rsid w:val="00FC3457"/>
    <w:rsid w:val="00FC3763"/>
    <w:rsid w:val="00FC3ED3"/>
    <w:rsid w:val="00FC4145"/>
    <w:rsid w:val="00FC460C"/>
    <w:rsid w:val="00FC4A70"/>
    <w:rsid w:val="00FC4D25"/>
    <w:rsid w:val="00FC4D45"/>
    <w:rsid w:val="00FC4E18"/>
    <w:rsid w:val="00FC5859"/>
    <w:rsid w:val="00FC58B4"/>
    <w:rsid w:val="00FC58CC"/>
    <w:rsid w:val="00FC6341"/>
    <w:rsid w:val="00FC6AA2"/>
    <w:rsid w:val="00FC6D45"/>
    <w:rsid w:val="00FC6D89"/>
    <w:rsid w:val="00FC6EDE"/>
    <w:rsid w:val="00FC6F2D"/>
    <w:rsid w:val="00FC727D"/>
    <w:rsid w:val="00FC7395"/>
    <w:rsid w:val="00FC7623"/>
    <w:rsid w:val="00FC77F9"/>
    <w:rsid w:val="00FD01A0"/>
    <w:rsid w:val="00FD01C3"/>
    <w:rsid w:val="00FD040D"/>
    <w:rsid w:val="00FD051A"/>
    <w:rsid w:val="00FD058E"/>
    <w:rsid w:val="00FD0CA3"/>
    <w:rsid w:val="00FD0F19"/>
    <w:rsid w:val="00FD1128"/>
    <w:rsid w:val="00FD112B"/>
    <w:rsid w:val="00FD1277"/>
    <w:rsid w:val="00FD1E56"/>
    <w:rsid w:val="00FD1F01"/>
    <w:rsid w:val="00FD215F"/>
    <w:rsid w:val="00FD2356"/>
    <w:rsid w:val="00FD2376"/>
    <w:rsid w:val="00FD24B7"/>
    <w:rsid w:val="00FD2EF1"/>
    <w:rsid w:val="00FD2FD0"/>
    <w:rsid w:val="00FD30DA"/>
    <w:rsid w:val="00FD3B7C"/>
    <w:rsid w:val="00FD3BBE"/>
    <w:rsid w:val="00FD3C1A"/>
    <w:rsid w:val="00FD3D5B"/>
    <w:rsid w:val="00FD3EFA"/>
    <w:rsid w:val="00FD40B2"/>
    <w:rsid w:val="00FD40DC"/>
    <w:rsid w:val="00FD455D"/>
    <w:rsid w:val="00FD4892"/>
    <w:rsid w:val="00FD4D02"/>
    <w:rsid w:val="00FD4F96"/>
    <w:rsid w:val="00FD5034"/>
    <w:rsid w:val="00FD5878"/>
    <w:rsid w:val="00FD59CC"/>
    <w:rsid w:val="00FD5B06"/>
    <w:rsid w:val="00FD5E59"/>
    <w:rsid w:val="00FD61E9"/>
    <w:rsid w:val="00FD6552"/>
    <w:rsid w:val="00FD6BAB"/>
    <w:rsid w:val="00FD6F6A"/>
    <w:rsid w:val="00FD7190"/>
    <w:rsid w:val="00FD7545"/>
    <w:rsid w:val="00FD763C"/>
    <w:rsid w:val="00FD7D39"/>
    <w:rsid w:val="00FE075E"/>
    <w:rsid w:val="00FE0C48"/>
    <w:rsid w:val="00FE0F15"/>
    <w:rsid w:val="00FE10F0"/>
    <w:rsid w:val="00FE142C"/>
    <w:rsid w:val="00FE1D72"/>
    <w:rsid w:val="00FE21BD"/>
    <w:rsid w:val="00FE23A5"/>
    <w:rsid w:val="00FE24D2"/>
    <w:rsid w:val="00FE24FD"/>
    <w:rsid w:val="00FE27E4"/>
    <w:rsid w:val="00FE2ACA"/>
    <w:rsid w:val="00FE2CF3"/>
    <w:rsid w:val="00FE2D46"/>
    <w:rsid w:val="00FE2D5E"/>
    <w:rsid w:val="00FE2F25"/>
    <w:rsid w:val="00FE3064"/>
    <w:rsid w:val="00FE30DD"/>
    <w:rsid w:val="00FE3861"/>
    <w:rsid w:val="00FE3882"/>
    <w:rsid w:val="00FE4297"/>
    <w:rsid w:val="00FE42D6"/>
    <w:rsid w:val="00FE494E"/>
    <w:rsid w:val="00FE4AA8"/>
    <w:rsid w:val="00FE4B45"/>
    <w:rsid w:val="00FE4B6B"/>
    <w:rsid w:val="00FE5494"/>
    <w:rsid w:val="00FE54E0"/>
    <w:rsid w:val="00FE5F04"/>
    <w:rsid w:val="00FE5F94"/>
    <w:rsid w:val="00FE64CB"/>
    <w:rsid w:val="00FE6FB1"/>
    <w:rsid w:val="00FE6FD7"/>
    <w:rsid w:val="00FE72D6"/>
    <w:rsid w:val="00FE789C"/>
    <w:rsid w:val="00FE7D50"/>
    <w:rsid w:val="00FF0483"/>
    <w:rsid w:val="00FF0801"/>
    <w:rsid w:val="00FF1662"/>
    <w:rsid w:val="00FF1EAF"/>
    <w:rsid w:val="00FF21B8"/>
    <w:rsid w:val="00FF2770"/>
    <w:rsid w:val="00FF2881"/>
    <w:rsid w:val="00FF2B11"/>
    <w:rsid w:val="00FF2E55"/>
    <w:rsid w:val="00FF2F1C"/>
    <w:rsid w:val="00FF35A5"/>
    <w:rsid w:val="00FF3FE0"/>
    <w:rsid w:val="00FF40E4"/>
    <w:rsid w:val="00FF41E5"/>
    <w:rsid w:val="00FF44CB"/>
    <w:rsid w:val="00FF4A91"/>
    <w:rsid w:val="00FF4D1A"/>
    <w:rsid w:val="00FF4D71"/>
    <w:rsid w:val="00FF5DA5"/>
    <w:rsid w:val="00FF625E"/>
    <w:rsid w:val="00FF62ED"/>
    <w:rsid w:val="00FF64C6"/>
    <w:rsid w:val="00FF65ED"/>
    <w:rsid w:val="00FF662C"/>
    <w:rsid w:val="00FF6754"/>
    <w:rsid w:val="00FF6850"/>
    <w:rsid w:val="00FF68D1"/>
    <w:rsid w:val="00FF691D"/>
    <w:rsid w:val="00FF698F"/>
    <w:rsid w:val="00FF6BBD"/>
    <w:rsid w:val="00FF6C27"/>
    <w:rsid w:val="00FF7661"/>
    <w:rsid w:val="00FF79C6"/>
    <w:rsid w:val="00FF7BCB"/>
    <w:rsid w:val="00FF7C53"/>
    <w:rsid w:val="01085CC1"/>
    <w:rsid w:val="010E06F2"/>
    <w:rsid w:val="01106823"/>
    <w:rsid w:val="0111EEDF"/>
    <w:rsid w:val="011594C8"/>
    <w:rsid w:val="01187F72"/>
    <w:rsid w:val="011A219C"/>
    <w:rsid w:val="011BB5F4"/>
    <w:rsid w:val="011EC289"/>
    <w:rsid w:val="01251E6B"/>
    <w:rsid w:val="01368F64"/>
    <w:rsid w:val="01458808"/>
    <w:rsid w:val="016197A9"/>
    <w:rsid w:val="0162DA7A"/>
    <w:rsid w:val="0166B74B"/>
    <w:rsid w:val="016D70A0"/>
    <w:rsid w:val="016F325B"/>
    <w:rsid w:val="0175BDAB"/>
    <w:rsid w:val="017EBFEF"/>
    <w:rsid w:val="0185FC36"/>
    <w:rsid w:val="018AA2A5"/>
    <w:rsid w:val="018FF83C"/>
    <w:rsid w:val="0190AC57"/>
    <w:rsid w:val="0195A15B"/>
    <w:rsid w:val="01993B0B"/>
    <w:rsid w:val="01B4F276"/>
    <w:rsid w:val="01B6A592"/>
    <w:rsid w:val="01BEFE05"/>
    <w:rsid w:val="01C62314"/>
    <w:rsid w:val="01C6680C"/>
    <w:rsid w:val="01C81381"/>
    <w:rsid w:val="01D00C97"/>
    <w:rsid w:val="01D90BD0"/>
    <w:rsid w:val="01D9F667"/>
    <w:rsid w:val="01DB2B49"/>
    <w:rsid w:val="01E320C6"/>
    <w:rsid w:val="01E8C9C1"/>
    <w:rsid w:val="01F18CA9"/>
    <w:rsid w:val="01F7F847"/>
    <w:rsid w:val="0206F4E1"/>
    <w:rsid w:val="020FAD5F"/>
    <w:rsid w:val="021B5516"/>
    <w:rsid w:val="021B982C"/>
    <w:rsid w:val="021E27E6"/>
    <w:rsid w:val="0221B028"/>
    <w:rsid w:val="022DB497"/>
    <w:rsid w:val="0240C028"/>
    <w:rsid w:val="02413596"/>
    <w:rsid w:val="0245DE5E"/>
    <w:rsid w:val="0248D317"/>
    <w:rsid w:val="0249A93B"/>
    <w:rsid w:val="0253CADF"/>
    <w:rsid w:val="0257CECC"/>
    <w:rsid w:val="025ABE32"/>
    <w:rsid w:val="025B9A81"/>
    <w:rsid w:val="025C80D1"/>
    <w:rsid w:val="02638D8A"/>
    <w:rsid w:val="026D0EA4"/>
    <w:rsid w:val="026D1A1E"/>
    <w:rsid w:val="026DA1DE"/>
    <w:rsid w:val="0276AE5F"/>
    <w:rsid w:val="028A57D4"/>
    <w:rsid w:val="029D3CB3"/>
    <w:rsid w:val="029EC774"/>
    <w:rsid w:val="02A7544B"/>
    <w:rsid w:val="02AA5C66"/>
    <w:rsid w:val="02AB7049"/>
    <w:rsid w:val="02AC5058"/>
    <w:rsid w:val="02B89ABA"/>
    <w:rsid w:val="02B8F00D"/>
    <w:rsid w:val="02BE17C7"/>
    <w:rsid w:val="02BF03A1"/>
    <w:rsid w:val="02C2A148"/>
    <w:rsid w:val="02C925F6"/>
    <w:rsid w:val="02CBC093"/>
    <w:rsid w:val="02DDD305"/>
    <w:rsid w:val="02DFD89F"/>
    <w:rsid w:val="02E37863"/>
    <w:rsid w:val="02FE8892"/>
    <w:rsid w:val="03010538"/>
    <w:rsid w:val="0303FA90"/>
    <w:rsid w:val="03097385"/>
    <w:rsid w:val="030C86C7"/>
    <w:rsid w:val="03193176"/>
    <w:rsid w:val="031EF34B"/>
    <w:rsid w:val="0333C48F"/>
    <w:rsid w:val="034B8157"/>
    <w:rsid w:val="0358C2C8"/>
    <w:rsid w:val="035B9EA1"/>
    <w:rsid w:val="035C5DBB"/>
    <w:rsid w:val="035F062D"/>
    <w:rsid w:val="037615B9"/>
    <w:rsid w:val="0384ACA2"/>
    <w:rsid w:val="03852D4D"/>
    <w:rsid w:val="03924829"/>
    <w:rsid w:val="03989D5C"/>
    <w:rsid w:val="039A1AC1"/>
    <w:rsid w:val="03A17038"/>
    <w:rsid w:val="03AA645E"/>
    <w:rsid w:val="03AFBA8B"/>
    <w:rsid w:val="03B4001C"/>
    <w:rsid w:val="03C26DD4"/>
    <w:rsid w:val="03CAFE41"/>
    <w:rsid w:val="03CC92B2"/>
    <w:rsid w:val="03CCD6CE"/>
    <w:rsid w:val="03DBB5B2"/>
    <w:rsid w:val="03DDC60B"/>
    <w:rsid w:val="03E0CACD"/>
    <w:rsid w:val="03E0CD12"/>
    <w:rsid w:val="03E80A2A"/>
    <w:rsid w:val="03EB044E"/>
    <w:rsid w:val="03EF68FD"/>
    <w:rsid w:val="03F2077C"/>
    <w:rsid w:val="03FE5F83"/>
    <w:rsid w:val="04159E05"/>
    <w:rsid w:val="0417856C"/>
    <w:rsid w:val="041E43BA"/>
    <w:rsid w:val="04266F3B"/>
    <w:rsid w:val="042F0E03"/>
    <w:rsid w:val="0447CFDE"/>
    <w:rsid w:val="044E0E77"/>
    <w:rsid w:val="0452EF12"/>
    <w:rsid w:val="046516A0"/>
    <w:rsid w:val="046F4C84"/>
    <w:rsid w:val="0474A461"/>
    <w:rsid w:val="047791E9"/>
    <w:rsid w:val="0479BC93"/>
    <w:rsid w:val="047EAA30"/>
    <w:rsid w:val="0481EB1E"/>
    <w:rsid w:val="049F29C4"/>
    <w:rsid w:val="04A9486C"/>
    <w:rsid w:val="04ADDE9A"/>
    <w:rsid w:val="04BB933F"/>
    <w:rsid w:val="04BEA50C"/>
    <w:rsid w:val="04C0AC3C"/>
    <w:rsid w:val="04C0E36D"/>
    <w:rsid w:val="04C5ECCC"/>
    <w:rsid w:val="04D8666B"/>
    <w:rsid w:val="04DA6FD2"/>
    <w:rsid w:val="04E7F728"/>
    <w:rsid w:val="04E817BA"/>
    <w:rsid w:val="04E8F19D"/>
    <w:rsid w:val="04EC720E"/>
    <w:rsid w:val="050409FF"/>
    <w:rsid w:val="0512B229"/>
    <w:rsid w:val="0517C347"/>
    <w:rsid w:val="05181116"/>
    <w:rsid w:val="0518573C"/>
    <w:rsid w:val="051D9C98"/>
    <w:rsid w:val="052313B5"/>
    <w:rsid w:val="052A2B5F"/>
    <w:rsid w:val="052A4C33"/>
    <w:rsid w:val="052BF1C7"/>
    <w:rsid w:val="052D3CD7"/>
    <w:rsid w:val="052DDD24"/>
    <w:rsid w:val="05318A2D"/>
    <w:rsid w:val="05326828"/>
    <w:rsid w:val="0534A0D6"/>
    <w:rsid w:val="053ABA75"/>
    <w:rsid w:val="05405D9B"/>
    <w:rsid w:val="0542E705"/>
    <w:rsid w:val="05460830"/>
    <w:rsid w:val="0547E4C9"/>
    <w:rsid w:val="0548D679"/>
    <w:rsid w:val="054A7DA4"/>
    <w:rsid w:val="054C5CAB"/>
    <w:rsid w:val="054C71B6"/>
    <w:rsid w:val="055FCA7A"/>
    <w:rsid w:val="056802D1"/>
    <w:rsid w:val="056F83FD"/>
    <w:rsid w:val="057577F1"/>
    <w:rsid w:val="058D0E89"/>
    <w:rsid w:val="0598A308"/>
    <w:rsid w:val="059E442E"/>
    <w:rsid w:val="059F6EAE"/>
    <w:rsid w:val="05A417EE"/>
    <w:rsid w:val="05A912C0"/>
    <w:rsid w:val="05B115FC"/>
    <w:rsid w:val="05B319CD"/>
    <w:rsid w:val="05B68CFD"/>
    <w:rsid w:val="05B6E842"/>
    <w:rsid w:val="05CE885E"/>
    <w:rsid w:val="05D035E9"/>
    <w:rsid w:val="05D0A3D8"/>
    <w:rsid w:val="05D4E8AB"/>
    <w:rsid w:val="05E51EB2"/>
    <w:rsid w:val="05E681CB"/>
    <w:rsid w:val="05F2B2D2"/>
    <w:rsid w:val="05F636F4"/>
    <w:rsid w:val="05F897C5"/>
    <w:rsid w:val="0600046D"/>
    <w:rsid w:val="0601E457"/>
    <w:rsid w:val="0608EB34"/>
    <w:rsid w:val="06149DBF"/>
    <w:rsid w:val="0618F2D3"/>
    <w:rsid w:val="0625B29F"/>
    <w:rsid w:val="06282DFC"/>
    <w:rsid w:val="062C9622"/>
    <w:rsid w:val="0631393B"/>
    <w:rsid w:val="06374F43"/>
    <w:rsid w:val="063B48B1"/>
    <w:rsid w:val="064AD523"/>
    <w:rsid w:val="0660023C"/>
    <w:rsid w:val="0663EAA9"/>
    <w:rsid w:val="068A0A96"/>
    <w:rsid w:val="068E999B"/>
    <w:rsid w:val="06992D3F"/>
    <w:rsid w:val="06A4A3F4"/>
    <w:rsid w:val="06A67179"/>
    <w:rsid w:val="06B18AD7"/>
    <w:rsid w:val="06B4802F"/>
    <w:rsid w:val="06B6BCDE"/>
    <w:rsid w:val="06C43D27"/>
    <w:rsid w:val="06D70342"/>
    <w:rsid w:val="06D73346"/>
    <w:rsid w:val="06DB4807"/>
    <w:rsid w:val="06E0F655"/>
    <w:rsid w:val="06E63198"/>
    <w:rsid w:val="06E6C3D5"/>
    <w:rsid w:val="06EB31C5"/>
    <w:rsid w:val="06EF5795"/>
    <w:rsid w:val="06F6B497"/>
    <w:rsid w:val="070DF82C"/>
    <w:rsid w:val="0712210D"/>
    <w:rsid w:val="071696F8"/>
    <w:rsid w:val="0745AED7"/>
    <w:rsid w:val="0755B27D"/>
    <w:rsid w:val="07630DAE"/>
    <w:rsid w:val="076452EA"/>
    <w:rsid w:val="0766B29C"/>
    <w:rsid w:val="07734A10"/>
    <w:rsid w:val="07791145"/>
    <w:rsid w:val="07854673"/>
    <w:rsid w:val="0787F788"/>
    <w:rsid w:val="07886889"/>
    <w:rsid w:val="07888506"/>
    <w:rsid w:val="078AECE0"/>
    <w:rsid w:val="078D410F"/>
    <w:rsid w:val="078E5177"/>
    <w:rsid w:val="0792C016"/>
    <w:rsid w:val="079E8B9E"/>
    <w:rsid w:val="079FF0F5"/>
    <w:rsid w:val="07A1306F"/>
    <w:rsid w:val="07ADC444"/>
    <w:rsid w:val="07AEF5DF"/>
    <w:rsid w:val="07BDF329"/>
    <w:rsid w:val="07C2CF1B"/>
    <w:rsid w:val="07C4BD7B"/>
    <w:rsid w:val="07C731BE"/>
    <w:rsid w:val="07D187F0"/>
    <w:rsid w:val="07D721A8"/>
    <w:rsid w:val="07DD747A"/>
    <w:rsid w:val="07DD86B8"/>
    <w:rsid w:val="07E7B854"/>
    <w:rsid w:val="07E80150"/>
    <w:rsid w:val="07EBA28E"/>
    <w:rsid w:val="07F440FA"/>
    <w:rsid w:val="07FAD262"/>
    <w:rsid w:val="07FC652A"/>
    <w:rsid w:val="0813F7C5"/>
    <w:rsid w:val="08143A7E"/>
    <w:rsid w:val="0815527E"/>
    <w:rsid w:val="0816DE7E"/>
    <w:rsid w:val="081AE111"/>
    <w:rsid w:val="081EDC0A"/>
    <w:rsid w:val="08348269"/>
    <w:rsid w:val="084965CC"/>
    <w:rsid w:val="08563844"/>
    <w:rsid w:val="085C8B6C"/>
    <w:rsid w:val="086195FF"/>
    <w:rsid w:val="0861CA92"/>
    <w:rsid w:val="086588D0"/>
    <w:rsid w:val="08674ABA"/>
    <w:rsid w:val="086E1AD3"/>
    <w:rsid w:val="0872E327"/>
    <w:rsid w:val="0875F195"/>
    <w:rsid w:val="0888731B"/>
    <w:rsid w:val="08A01DDE"/>
    <w:rsid w:val="08A300A4"/>
    <w:rsid w:val="08A624B0"/>
    <w:rsid w:val="08A6BACC"/>
    <w:rsid w:val="08A8A602"/>
    <w:rsid w:val="08AFA3EC"/>
    <w:rsid w:val="08C6F016"/>
    <w:rsid w:val="08E647B0"/>
    <w:rsid w:val="08EC4765"/>
    <w:rsid w:val="08F000F3"/>
    <w:rsid w:val="08F10E02"/>
    <w:rsid w:val="09031801"/>
    <w:rsid w:val="090591A8"/>
    <w:rsid w:val="09080F55"/>
    <w:rsid w:val="09127446"/>
    <w:rsid w:val="0912E897"/>
    <w:rsid w:val="09161F5C"/>
    <w:rsid w:val="092423ED"/>
    <w:rsid w:val="092AC4D2"/>
    <w:rsid w:val="09423E87"/>
    <w:rsid w:val="094911A3"/>
    <w:rsid w:val="09493DE0"/>
    <w:rsid w:val="09508392"/>
    <w:rsid w:val="09549D8D"/>
    <w:rsid w:val="0954F9B3"/>
    <w:rsid w:val="0956233B"/>
    <w:rsid w:val="096908F4"/>
    <w:rsid w:val="09706E8A"/>
    <w:rsid w:val="097F0DFD"/>
    <w:rsid w:val="097F109B"/>
    <w:rsid w:val="09820B33"/>
    <w:rsid w:val="09853323"/>
    <w:rsid w:val="0989BCD4"/>
    <w:rsid w:val="0990BCCE"/>
    <w:rsid w:val="09B1B7C8"/>
    <w:rsid w:val="09BFBD1A"/>
    <w:rsid w:val="09CB7C71"/>
    <w:rsid w:val="09CDBED8"/>
    <w:rsid w:val="09DAD6C9"/>
    <w:rsid w:val="09DDB517"/>
    <w:rsid w:val="09DDBD1B"/>
    <w:rsid w:val="09F8466B"/>
    <w:rsid w:val="0A01701A"/>
    <w:rsid w:val="0A09055A"/>
    <w:rsid w:val="0A0EDE73"/>
    <w:rsid w:val="0A12B6C2"/>
    <w:rsid w:val="0A1995AE"/>
    <w:rsid w:val="0A1D43BB"/>
    <w:rsid w:val="0A1ECC46"/>
    <w:rsid w:val="0A23B16F"/>
    <w:rsid w:val="0A23F889"/>
    <w:rsid w:val="0A31E455"/>
    <w:rsid w:val="0A34D5BA"/>
    <w:rsid w:val="0A375237"/>
    <w:rsid w:val="0A409DD4"/>
    <w:rsid w:val="0A40DD89"/>
    <w:rsid w:val="0A46595E"/>
    <w:rsid w:val="0A52F1C0"/>
    <w:rsid w:val="0A6DACAF"/>
    <w:rsid w:val="0A7302A8"/>
    <w:rsid w:val="0A7693E7"/>
    <w:rsid w:val="0A779915"/>
    <w:rsid w:val="0A78A461"/>
    <w:rsid w:val="0A7DEB0F"/>
    <w:rsid w:val="0A868AF0"/>
    <w:rsid w:val="0A8694E4"/>
    <w:rsid w:val="0A99227C"/>
    <w:rsid w:val="0AAA2F8E"/>
    <w:rsid w:val="0AAB1BBA"/>
    <w:rsid w:val="0ABAC6FE"/>
    <w:rsid w:val="0AC003DE"/>
    <w:rsid w:val="0AC3DBC0"/>
    <w:rsid w:val="0AD854DA"/>
    <w:rsid w:val="0AE367EC"/>
    <w:rsid w:val="0AE8E4D4"/>
    <w:rsid w:val="0B0357C7"/>
    <w:rsid w:val="0B0C682B"/>
    <w:rsid w:val="0B105E7D"/>
    <w:rsid w:val="0B108A04"/>
    <w:rsid w:val="0B12D4DF"/>
    <w:rsid w:val="0B143CB8"/>
    <w:rsid w:val="0B193966"/>
    <w:rsid w:val="0B252C90"/>
    <w:rsid w:val="0B27F72E"/>
    <w:rsid w:val="0B2AFFD3"/>
    <w:rsid w:val="0B36B718"/>
    <w:rsid w:val="0B38E1BD"/>
    <w:rsid w:val="0B41F6E1"/>
    <w:rsid w:val="0B44FE34"/>
    <w:rsid w:val="0B45278A"/>
    <w:rsid w:val="0B4C6370"/>
    <w:rsid w:val="0B54003A"/>
    <w:rsid w:val="0B5DE060"/>
    <w:rsid w:val="0B5DF592"/>
    <w:rsid w:val="0B6770FB"/>
    <w:rsid w:val="0B6AC519"/>
    <w:rsid w:val="0B71C092"/>
    <w:rsid w:val="0B82500D"/>
    <w:rsid w:val="0B839B34"/>
    <w:rsid w:val="0B85D7CB"/>
    <w:rsid w:val="0B866A1E"/>
    <w:rsid w:val="0B8F6315"/>
    <w:rsid w:val="0B8FE4E7"/>
    <w:rsid w:val="0B908D9B"/>
    <w:rsid w:val="0B92F432"/>
    <w:rsid w:val="0B9EC667"/>
    <w:rsid w:val="0BAC3368"/>
    <w:rsid w:val="0BAD8DA8"/>
    <w:rsid w:val="0BB2AD14"/>
    <w:rsid w:val="0BB538F0"/>
    <w:rsid w:val="0BB7938D"/>
    <w:rsid w:val="0BB9557C"/>
    <w:rsid w:val="0BBE47B8"/>
    <w:rsid w:val="0BC2A25C"/>
    <w:rsid w:val="0BC5605D"/>
    <w:rsid w:val="0BD3AB71"/>
    <w:rsid w:val="0BD3E983"/>
    <w:rsid w:val="0BD480AF"/>
    <w:rsid w:val="0BD69367"/>
    <w:rsid w:val="0BDA9ED3"/>
    <w:rsid w:val="0BDE6253"/>
    <w:rsid w:val="0BE2FDEA"/>
    <w:rsid w:val="0BE316F0"/>
    <w:rsid w:val="0BEC7595"/>
    <w:rsid w:val="0C079F30"/>
    <w:rsid w:val="0C07B460"/>
    <w:rsid w:val="0C0CB118"/>
    <w:rsid w:val="0C10BAD8"/>
    <w:rsid w:val="0C12DF26"/>
    <w:rsid w:val="0C2082FC"/>
    <w:rsid w:val="0C277D02"/>
    <w:rsid w:val="0C31A7CC"/>
    <w:rsid w:val="0C31BD5B"/>
    <w:rsid w:val="0C3F765E"/>
    <w:rsid w:val="0C420E78"/>
    <w:rsid w:val="0C4476A9"/>
    <w:rsid w:val="0C4778FB"/>
    <w:rsid w:val="0C53ADF6"/>
    <w:rsid w:val="0C575DA4"/>
    <w:rsid w:val="0C6A1818"/>
    <w:rsid w:val="0C6BEABE"/>
    <w:rsid w:val="0C70B58F"/>
    <w:rsid w:val="0C75188D"/>
    <w:rsid w:val="0C7565E9"/>
    <w:rsid w:val="0C7D2175"/>
    <w:rsid w:val="0C82B7B2"/>
    <w:rsid w:val="0C83FA59"/>
    <w:rsid w:val="0C8A372D"/>
    <w:rsid w:val="0C990A87"/>
    <w:rsid w:val="0C998679"/>
    <w:rsid w:val="0C9A206C"/>
    <w:rsid w:val="0C9DD765"/>
    <w:rsid w:val="0CA2CDB3"/>
    <w:rsid w:val="0CB8F10F"/>
    <w:rsid w:val="0CC2B15B"/>
    <w:rsid w:val="0CC6D9C0"/>
    <w:rsid w:val="0CCD451A"/>
    <w:rsid w:val="0CCD9232"/>
    <w:rsid w:val="0CCF2E1C"/>
    <w:rsid w:val="0CD00381"/>
    <w:rsid w:val="0CD7575A"/>
    <w:rsid w:val="0CE34E1F"/>
    <w:rsid w:val="0CF10F1F"/>
    <w:rsid w:val="0CF25AC3"/>
    <w:rsid w:val="0CF30B7D"/>
    <w:rsid w:val="0CF65A11"/>
    <w:rsid w:val="0CF7A2F4"/>
    <w:rsid w:val="0CF97D42"/>
    <w:rsid w:val="0D04BC5E"/>
    <w:rsid w:val="0D0AC4E7"/>
    <w:rsid w:val="0D0E6D71"/>
    <w:rsid w:val="0D22CFD7"/>
    <w:rsid w:val="0D2B5601"/>
    <w:rsid w:val="0D32AA58"/>
    <w:rsid w:val="0D33A65C"/>
    <w:rsid w:val="0D3E2551"/>
    <w:rsid w:val="0D460962"/>
    <w:rsid w:val="0D478D09"/>
    <w:rsid w:val="0D4AC4BA"/>
    <w:rsid w:val="0D4B9FC9"/>
    <w:rsid w:val="0D577DCB"/>
    <w:rsid w:val="0D599E0A"/>
    <w:rsid w:val="0D5C2ABF"/>
    <w:rsid w:val="0D66FD44"/>
    <w:rsid w:val="0D676806"/>
    <w:rsid w:val="0D6CE729"/>
    <w:rsid w:val="0D71AEB1"/>
    <w:rsid w:val="0D77D092"/>
    <w:rsid w:val="0D79369D"/>
    <w:rsid w:val="0D7F56D5"/>
    <w:rsid w:val="0D92E8BF"/>
    <w:rsid w:val="0DA35FBE"/>
    <w:rsid w:val="0DA38E7C"/>
    <w:rsid w:val="0DACEFE0"/>
    <w:rsid w:val="0DB98D64"/>
    <w:rsid w:val="0DCBB48F"/>
    <w:rsid w:val="0DCDDB14"/>
    <w:rsid w:val="0DD3DDFA"/>
    <w:rsid w:val="0DD6E4C7"/>
    <w:rsid w:val="0DE836AD"/>
    <w:rsid w:val="0DF1E6CF"/>
    <w:rsid w:val="0DF8C0CE"/>
    <w:rsid w:val="0DFE8A18"/>
    <w:rsid w:val="0E02990D"/>
    <w:rsid w:val="0E03B91E"/>
    <w:rsid w:val="0E088C29"/>
    <w:rsid w:val="0E0E365A"/>
    <w:rsid w:val="0E2032BB"/>
    <w:rsid w:val="0E2C0989"/>
    <w:rsid w:val="0E3254A2"/>
    <w:rsid w:val="0E325A80"/>
    <w:rsid w:val="0E32C6FB"/>
    <w:rsid w:val="0E348F48"/>
    <w:rsid w:val="0E364818"/>
    <w:rsid w:val="0E3933DB"/>
    <w:rsid w:val="0E3A41CC"/>
    <w:rsid w:val="0E3FDBF9"/>
    <w:rsid w:val="0E487776"/>
    <w:rsid w:val="0E4B317B"/>
    <w:rsid w:val="0E4D1F9F"/>
    <w:rsid w:val="0E572F4A"/>
    <w:rsid w:val="0E6587F9"/>
    <w:rsid w:val="0E662054"/>
    <w:rsid w:val="0E69779C"/>
    <w:rsid w:val="0E6C68D9"/>
    <w:rsid w:val="0E714E25"/>
    <w:rsid w:val="0E83174A"/>
    <w:rsid w:val="0E8A9BEE"/>
    <w:rsid w:val="0E8B833C"/>
    <w:rsid w:val="0E8D7484"/>
    <w:rsid w:val="0E996EE9"/>
    <w:rsid w:val="0E9B594F"/>
    <w:rsid w:val="0EA8D5F2"/>
    <w:rsid w:val="0EA9B3A6"/>
    <w:rsid w:val="0EABCD79"/>
    <w:rsid w:val="0EB1262E"/>
    <w:rsid w:val="0EB45840"/>
    <w:rsid w:val="0EBF8452"/>
    <w:rsid w:val="0EC26F36"/>
    <w:rsid w:val="0EC88D60"/>
    <w:rsid w:val="0ED4261E"/>
    <w:rsid w:val="0EDA58A0"/>
    <w:rsid w:val="0EE43B3A"/>
    <w:rsid w:val="0EE73698"/>
    <w:rsid w:val="0EEE5BD7"/>
    <w:rsid w:val="0EEF10ED"/>
    <w:rsid w:val="0EF6558A"/>
    <w:rsid w:val="0EF68744"/>
    <w:rsid w:val="0EFDAA9D"/>
    <w:rsid w:val="0EFFBC03"/>
    <w:rsid w:val="0F00F0C7"/>
    <w:rsid w:val="0F03A908"/>
    <w:rsid w:val="0F0D7D40"/>
    <w:rsid w:val="0F1034C6"/>
    <w:rsid w:val="0F132081"/>
    <w:rsid w:val="0F1726E7"/>
    <w:rsid w:val="0F2288F7"/>
    <w:rsid w:val="0F22CA17"/>
    <w:rsid w:val="0F24BAD6"/>
    <w:rsid w:val="0F2FA2C1"/>
    <w:rsid w:val="0F3A2F56"/>
    <w:rsid w:val="0F429D02"/>
    <w:rsid w:val="0F43A01F"/>
    <w:rsid w:val="0F4704B6"/>
    <w:rsid w:val="0F4E340A"/>
    <w:rsid w:val="0F4EFF7E"/>
    <w:rsid w:val="0F5F1DC4"/>
    <w:rsid w:val="0F684F40"/>
    <w:rsid w:val="0F72021D"/>
    <w:rsid w:val="0F77957B"/>
    <w:rsid w:val="0F8399AA"/>
    <w:rsid w:val="0F83D8E7"/>
    <w:rsid w:val="0F857D49"/>
    <w:rsid w:val="0F90FFF7"/>
    <w:rsid w:val="0F9442F5"/>
    <w:rsid w:val="0FA5B5E0"/>
    <w:rsid w:val="0FBDB79F"/>
    <w:rsid w:val="0FBE3B3D"/>
    <w:rsid w:val="0FBF9486"/>
    <w:rsid w:val="0FC7E7A0"/>
    <w:rsid w:val="0FCFA87D"/>
    <w:rsid w:val="0FD0F020"/>
    <w:rsid w:val="0FDD3C5B"/>
    <w:rsid w:val="0FEAFE71"/>
    <w:rsid w:val="0FEB3F04"/>
    <w:rsid w:val="0FED0825"/>
    <w:rsid w:val="0FF8BB35"/>
    <w:rsid w:val="0FF9F017"/>
    <w:rsid w:val="0FFA3E42"/>
    <w:rsid w:val="0FFC1F9F"/>
    <w:rsid w:val="1007F54F"/>
    <w:rsid w:val="100AC055"/>
    <w:rsid w:val="1010740F"/>
    <w:rsid w:val="1012A9FE"/>
    <w:rsid w:val="101E0F37"/>
    <w:rsid w:val="101F9199"/>
    <w:rsid w:val="102E0699"/>
    <w:rsid w:val="103A2BBD"/>
    <w:rsid w:val="103C8FE7"/>
    <w:rsid w:val="103F4614"/>
    <w:rsid w:val="10458C4A"/>
    <w:rsid w:val="104752B2"/>
    <w:rsid w:val="10495D55"/>
    <w:rsid w:val="104CC6EF"/>
    <w:rsid w:val="104F624D"/>
    <w:rsid w:val="1052B639"/>
    <w:rsid w:val="106BAD97"/>
    <w:rsid w:val="106C0DC3"/>
    <w:rsid w:val="106C266A"/>
    <w:rsid w:val="106D1378"/>
    <w:rsid w:val="106D7220"/>
    <w:rsid w:val="1088B579"/>
    <w:rsid w:val="108C7351"/>
    <w:rsid w:val="108C7B77"/>
    <w:rsid w:val="109179DD"/>
    <w:rsid w:val="109505E3"/>
    <w:rsid w:val="10A36BED"/>
    <w:rsid w:val="10B51FCA"/>
    <w:rsid w:val="10B5A064"/>
    <w:rsid w:val="10BABB26"/>
    <w:rsid w:val="10C416F8"/>
    <w:rsid w:val="10C6DF9B"/>
    <w:rsid w:val="10C74944"/>
    <w:rsid w:val="10D5194D"/>
    <w:rsid w:val="10DAD554"/>
    <w:rsid w:val="10E817C1"/>
    <w:rsid w:val="10ED1A5B"/>
    <w:rsid w:val="10ED952A"/>
    <w:rsid w:val="10EF60EC"/>
    <w:rsid w:val="11025275"/>
    <w:rsid w:val="11037A7B"/>
    <w:rsid w:val="1106046B"/>
    <w:rsid w:val="1107D099"/>
    <w:rsid w:val="11174F35"/>
    <w:rsid w:val="1118569C"/>
    <w:rsid w:val="112A1646"/>
    <w:rsid w:val="112A57CC"/>
    <w:rsid w:val="112AAAB8"/>
    <w:rsid w:val="11306247"/>
    <w:rsid w:val="11330C85"/>
    <w:rsid w:val="1137B75A"/>
    <w:rsid w:val="114C3E6E"/>
    <w:rsid w:val="114D45E6"/>
    <w:rsid w:val="114F6D3C"/>
    <w:rsid w:val="115C8AE8"/>
    <w:rsid w:val="115F4F58"/>
    <w:rsid w:val="116042E3"/>
    <w:rsid w:val="116A0719"/>
    <w:rsid w:val="116EAF75"/>
    <w:rsid w:val="117ACB9E"/>
    <w:rsid w:val="117F86DF"/>
    <w:rsid w:val="117FC4FE"/>
    <w:rsid w:val="11827145"/>
    <w:rsid w:val="1185E8DE"/>
    <w:rsid w:val="118C1446"/>
    <w:rsid w:val="119301E1"/>
    <w:rsid w:val="119EBB76"/>
    <w:rsid w:val="11A397D0"/>
    <w:rsid w:val="11AC4470"/>
    <w:rsid w:val="11AED684"/>
    <w:rsid w:val="11BF50AE"/>
    <w:rsid w:val="11C3A865"/>
    <w:rsid w:val="11D29219"/>
    <w:rsid w:val="11E53202"/>
    <w:rsid w:val="11F61743"/>
    <w:rsid w:val="1204BFE7"/>
    <w:rsid w:val="12051880"/>
    <w:rsid w:val="120945DF"/>
    <w:rsid w:val="12184525"/>
    <w:rsid w:val="121E3FE2"/>
    <w:rsid w:val="1220E8CA"/>
    <w:rsid w:val="12230168"/>
    <w:rsid w:val="122567E3"/>
    <w:rsid w:val="1227C1C8"/>
    <w:rsid w:val="122E0B60"/>
    <w:rsid w:val="1238384E"/>
    <w:rsid w:val="123DCC50"/>
    <w:rsid w:val="123FE79F"/>
    <w:rsid w:val="12512FAD"/>
    <w:rsid w:val="126273A2"/>
    <w:rsid w:val="12697DA3"/>
    <w:rsid w:val="126DFC54"/>
    <w:rsid w:val="126F38C8"/>
    <w:rsid w:val="12837047"/>
    <w:rsid w:val="128B512A"/>
    <w:rsid w:val="1294F5D9"/>
    <w:rsid w:val="12B2B7AF"/>
    <w:rsid w:val="12B2D448"/>
    <w:rsid w:val="12BD6D39"/>
    <w:rsid w:val="12CBBA37"/>
    <w:rsid w:val="12CD28E4"/>
    <w:rsid w:val="12CD46AE"/>
    <w:rsid w:val="12D6035F"/>
    <w:rsid w:val="12DBFE82"/>
    <w:rsid w:val="12DE0CEB"/>
    <w:rsid w:val="12E2740B"/>
    <w:rsid w:val="12E6891B"/>
    <w:rsid w:val="12EA81A0"/>
    <w:rsid w:val="12F1E635"/>
    <w:rsid w:val="12F6087C"/>
    <w:rsid w:val="12FF90A0"/>
    <w:rsid w:val="1302F9CE"/>
    <w:rsid w:val="13042D63"/>
    <w:rsid w:val="13062B0B"/>
    <w:rsid w:val="1316E07B"/>
    <w:rsid w:val="131EFBFD"/>
    <w:rsid w:val="132EBE87"/>
    <w:rsid w:val="135A2046"/>
    <w:rsid w:val="13639573"/>
    <w:rsid w:val="1369A06E"/>
    <w:rsid w:val="136D492B"/>
    <w:rsid w:val="13713264"/>
    <w:rsid w:val="138361C7"/>
    <w:rsid w:val="1385418D"/>
    <w:rsid w:val="13971DA8"/>
    <w:rsid w:val="139892DD"/>
    <w:rsid w:val="13ACA273"/>
    <w:rsid w:val="13B48E4B"/>
    <w:rsid w:val="13B80884"/>
    <w:rsid w:val="13B91F9A"/>
    <w:rsid w:val="13BD7B9C"/>
    <w:rsid w:val="13BDEAAD"/>
    <w:rsid w:val="13C56698"/>
    <w:rsid w:val="13CC65C0"/>
    <w:rsid w:val="13CD5106"/>
    <w:rsid w:val="13CD5F8E"/>
    <w:rsid w:val="13CF9C95"/>
    <w:rsid w:val="13D07D52"/>
    <w:rsid w:val="13D7A85B"/>
    <w:rsid w:val="13DB0D61"/>
    <w:rsid w:val="13DF5EB9"/>
    <w:rsid w:val="13E09966"/>
    <w:rsid w:val="13E959F3"/>
    <w:rsid w:val="13F27B7C"/>
    <w:rsid w:val="13F7F8D6"/>
    <w:rsid w:val="13F9E2F4"/>
    <w:rsid w:val="141F462D"/>
    <w:rsid w:val="1421655E"/>
    <w:rsid w:val="142315CE"/>
    <w:rsid w:val="1424BEE6"/>
    <w:rsid w:val="14274090"/>
    <w:rsid w:val="142AE762"/>
    <w:rsid w:val="143AEF59"/>
    <w:rsid w:val="143E2C98"/>
    <w:rsid w:val="14417477"/>
    <w:rsid w:val="1441A5CE"/>
    <w:rsid w:val="144EC6F0"/>
    <w:rsid w:val="144F29D4"/>
    <w:rsid w:val="1450B941"/>
    <w:rsid w:val="1459DB13"/>
    <w:rsid w:val="14815000"/>
    <w:rsid w:val="1487CEB3"/>
    <w:rsid w:val="149FB2EE"/>
    <w:rsid w:val="14A0A781"/>
    <w:rsid w:val="14A4C85E"/>
    <w:rsid w:val="14AA2E76"/>
    <w:rsid w:val="14B0A270"/>
    <w:rsid w:val="14B190FA"/>
    <w:rsid w:val="14BB5BF7"/>
    <w:rsid w:val="14BC549F"/>
    <w:rsid w:val="14BCFE18"/>
    <w:rsid w:val="14BEF05B"/>
    <w:rsid w:val="14CA405D"/>
    <w:rsid w:val="14D38607"/>
    <w:rsid w:val="14DC4821"/>
    <w:rsid w:val="14DDD022"/>
    <w:rsid w:val="14E2AE8E"/>
    <w:rsid w:val="14EC6890"/>
    <w:rsid w:val="14ECDF73"/>
    <w:rsid w:val="14EE8C4C"/>
    <w:rsid w:val="14EFB9D9"/>
    <w:rsid w:val="14F1D4C7"/>
    <w:rsid w:val="14F49D40"/>
    <w:rsid w:val="14FE6BA5"/>
    <w:rsid w:val="1500427F"/>
    <w:rsid w:val="1507C2D2"/>
    <w:rsid w:val="15108825"/>
    <w:rsid w:val="1515B3A4"/>
    <w:rsid w:val="151CB274"/>
    <w:rsid w:val="1525AAD6"/>
    <w:rsid w:val="152651DA"/>
    <w:rsid w:val="152AF73E"/>
    <w:rsid w:val="152F9519"/>
    <w:rsid w:val="15394F26"/>
    <w:rsid w:val="153D0222"/>
    <w:rsid w:val="15556969"/>
    <w:rsid w:val="155D2C6D"/>
    <w:rsid w:val="156E0F05"/>
    <w:rsid w:val="157C2DF7"/>
    <w:rsid w:val="157E6F41"/>
    <w:rsid w:val="15818C8A"/>
    <w:rsid w:val="1582613B"/>
    <w:rsid w:val="1584957D"/>
    <w:rsid w:val="15AE3678"/>
    <w:rsid w:val="15AF9D33"/>
    <w:rsid w:val="15B5EB7B"/>
    <w:rsid w:val="15BEB5C3"/>
    <w:rsid w:val="15CCF514"/>
    <w:rsid w:val="15D0CB6D"/>
    <w:rsid w:val="15D9CA9E"/>
    <w:rsid w:val="15DE7A6F"/>
    <w:rsid w:val="15F576C2"/>
    <w:rsid w:val="15FDCF9D"/>
    <w:rsid w:val="15FE79E6"/>
    <w:rsid w:val="16018762"/>
    <w:rsid w:val="160E5249"/>
    <w:rsid w:val="161207E2"/>
    <w:rsid w:val="1615D3B5"/>
    <w:rsid w:val="1624CF83"/>
    <w:rsid w:val="163299CD"/>
    <w:rsid w:val="1643BFCA"/>
    <w:rsid w:val="164415F6"/>
    <w:rsid w:val="164B701E"/>
    <w:rsid w:val="16598469"/>
    <w:rsid w:val="166B4631"/>
    <w:rsid w:val="168AA538"/>
    <w:rsid w:val="168BC3EB"/>
    <w:rsid w:val="1690B515"/>
    <w:rsid w:val="1695B5E2"/>
    <w:rsid w:val="16A8016C"/>
    <w:rsid w:val="16AC90D3"/>
    <w:rsid w:val="16BF2EEA"/>
    <w:rsid w:val="16D756DC"/>
    <w:rsid w:val="16DD27C5"/>
    <w:rsid w:val="16E2E753"/>
    <w:rsid w:val="16E7AA0E"/>
    <w:rsid w:val="16ED7D42"/>
    <w:rsid w:val="16EF25C9"/>
    <w:rsid w:val="16FE2BE3"/>
    <w:rsid w:val="16FEC18E"/>
    <w:rsid w:val="170215EF"/>
    <w:rsid w:val="17039328"/>
    <w:rsid w:val="17070E1D"/>
    <w:rsid w:val="170E516D"/>
    <w:rsid w:val="170FA808"/>
    <w:rsid w:val="170FE947"/>
    <w:rsid w:val="17223D5C"/>
    <w:rsid w:val="1729455A"/>
    <w:rsid w:val="1733B311"/>
    <w:rsid w:val="1736C4FE"/>
    <w:rsid w:val="174439F5"/>
    <w:rsid w:val="174549B2"/>
    <w:rsid w:val="174FC061"/>
    <w:rsid w:val="1754DBDA"/>
    <w:rsid w:val="1759B31B"/>
    <w:rsid w:val="175BEFAD"/>
    <w:rsid w:val="175CB476"/>
    <w:rsid w:val="175CBF1C"/>
    <w:rsid w:val="1761B3F9"/>
    <w:rsid w:val="176A6ACD"/>
    <w:rsid w:val="177C0EC6"/>
    <w:rsid w:val="177F74D4"/>
    <w:rsid w:val="17827B52"/>
    <w:rsid w:val="17861FB6"/>
    <w:rsid w:val="17914131"/>
    <w:rsid w:val="179EBC72"/>
    <w:rsid w:val="17B2E507"/>
    <w:rsid w:val="17B528FD"/>
    <w:rsid w:val="17B6EF92"/>
    <w:rsid w:val="17B9A696"/>
    <w:rsid w:val="17BDCF74"/>
    <w:rsid w:val="17C2CD94"/>
    <w:rsid w:val="17C88462"/>
    <w:rsid w:val="17CEE30D"/>
    <w:rsid w:val="17DFF105"/>
    <w:rsid w:val="17EE1BA4"/>
    <w:rsid w:val="1802C7EA"/>
    <w:rsid w:val="18078BC0"/>
    <w:rsid w:val="180D029A"/>
    <w:rsid w:val="1813D3F8"/>
    <w:rsid w:val="181504C7"/>
    <w:rsid w:val="1817F130"/>
    <w:rsid w:val="181D5D66"/>
    <w:rsid w:val="181DA43A"/>
    <w:rsid w:val="1822A43E"/>
    <w:rsid w:val="1823B522"/>
    <w:rsid w:val="1825E63F"/>
    <w:rsid w:val="183067C7"/>
    <w:rsid w:val="18316806"/>
    <w:rsid w:val="1832A703"/>
    <w:rsid w:val="183667AF"/>
    <w:rsid w:val="18377281"/>
    <w:rsid w:val="184005A2"/>
    <w:rsid w:val="1840D77E"/>
    <w:rsid w:val="1844121C"/>
    <w:rsid w:val="184920E0"/>
    <w:rsid w:val="18526F2C"/>
    <w:rsid w:val="18539166"/>
    <w:rsid w:val="1856F28C"/>
    <w:rsid w:val="1859D1AB"/>
    <w:rsid w:val="185D88C9"/>
    <w:rsid w:val="185DF29C"/>
    <w:rsid w:val="1864225F"/>
    <w:rsid w:val="186E62C4"/>
    <w:rsid w:val="18833F8E"/>
    <w:rsid w:val="18865285"/>
    <w:rsid w:val="1889CD47"/>
    <w:rsid w:val="188C8DDA"/>
    <w:rsid w:val="18900951"/>
    <w:rsid w:val="1892CFE0"/>
    <w:rsid w:val="1894B8FE"/>
    <w:rsid w:val="18ACA4D1"/>
    <w:rsid w:val="18B0C81E"/>
    <w:rsid w:val="18B0FAEF"/>
    <w:rsid w:val="18BA450B"/>
    <w:rsid w:val="18BD9615"/>
    <w:rsid w:val="18DBB6B1"/>
    <w:rsid w:val="18E16826"/>
    <w:rsid w:val="18E5D73A"/>
    <w:rsid w:val="18F0AC3B"/>
    <w:rsid w:val="18F9CB68"/>
    <w:rsid w:val="18FF4AC2"/>
    <w:rsid w:val="19011549"/>
    <w:rsid w:val="1907E35B"/>
    <w:rsid w:val="191F26D6"/>
    <w:rsid w:val="1921E5AF"/>
    <w:rsid w:val="1922EF60"/>
    <w:rsid w:val="1935B601"/>
    <w:rsid w:val="1936969E"/>
    <w:rsid w:val="194E65C7"/>
    <w:rsid w:val="1956EF59"/>
    <w:rsid w:val="195A33C8"/>
    <w:rsid w:val="196B1815"/>
    <w:rsid w:val="196DBC45"/>
    <w:rsid w:val="197027FE"/>
    <w:rsid w:val="19885A5A"/>
    <w:rsid w:val="198885B7"/>
    <w:rsid w:val="19959A5B"/>
    <w:rsid w:val="199CE00C"/>
    <w:rsid w:val="19A7BEA9"/>
    <w:rsid w:val="19B27035"/>
    <w:rsid w:val="19B84C61"/>
    <w:rsid w:val="19B8A435"/>
    <w:rsid w:val="19C47D73"/>
    <w:rsid w:val="19CFFC6A"/>
    <w:rsid w:val="19D301CE"/>
    <w:rsid w:val="19D5E280"/>
    <w:rsid w:val="19D9C376"/>
    <w:rsid w:val="19DD0C86"/>
    <w:rsid w:val="19E0C15C"/>
    <w:rsid w:val="19E0FD02"/>
    <w:rsid w:val="19EE0928"/>
    <w:rsid w:val="19EE34F8"/>
    <w:rsid w:val="19F9D142"/>
    <w:rsid w:val="1A028224"/>
    <w:rsid w:val="1A038194"/>
    <w:rsid w:val="1A11A91C"/>
    <w:rsid w:val="1A1C5B03"/>
    <w:rsid w:val="1A1E20CC"/>
    <w:rsid w:val="1A349AE9"/>
    <w:rsid w:val="1A35B0A6"/>
    <w:rsid w:val="1A3AB566"/>
    <w:rsid w:val="1A3B2AD7"/>
    <w:rsid w:val="1A3B2F23"/>
    <w:rsid w:val="1A3E1416"/>
    <w:rsid w:val="1A51D46D"/>
    <w:rsid w:val="1A5707B3"/>
    <w:rsid w:val="1A5EE046"/>
    <w:rsid w:val="1A6374D3"/>
    <w:rsid w:val="1A68CA3C"/>
    <w:rsid w:val="1A6BED24"/>
    <w:rsid w:val="1A6F5FFF"/>
    <w:rsid w:val="1A6FFADE"/>
    <w:rsid w:val="1A74F382"/>
    <w:rsid w:val="1A894363"/>
    <w:rsid w:val="1A8D7213"/>
    <w:rsid w:val="1A911C0A"/>
    <w:rsid w:val="1A949240"/>
    <w:rsid w:val="1AA97E10"/>
    <w:rsid w:val="1AB5BC45"/>
    <w:rsid w:val="1AB914D5"/>
    <w:rsid w:val="1ABA6901"/>
    <w:rsid w:val="1AC4C93A"/>
    <w:rsid w:val="1AC84A7B"/>
    <w:rsid w:val="1ACD85AC"/>
    <w:rsid w:val="1AD06472"/>
    <w:rsid w:val="1AD2C7B7"/>
    <w:rsid w:val="1AD5F97D"/>
    <w:rsid w:val="1AE70FD9"/>
    <w:rsid w:val="1AF359A1"/>
    <w:rsid w:val="1AF99E1B"/>
    <w:rsid w:val="1B049F99"/>
    <w:rsid w:val="1B13EBD3"/>
    <w:rsid w:val="1B183B93"/>
    <w:rsid w:val="1B18C530"/>
    <w:rsid w:val="1B1BE28D"/>
    <w:rsid w:val="1B1ECE83"/>
    <w:rsid w:val="1B2B10E9"/>
    <w:rsid w:val="1B31A28F"/>
    <w:rsid w:val="1B461CF5"/>
    <w:rsid w:val="1B478200"/>
    <w:rsid w:val="1B4D6636"/>
    <w:rsid w:val="1B559DB2"/>
    <w:rsid w:val="1B5AB1B2"/>
    <w:rsid w:val="1B5E771C"/>
    <w:rsid w:val="1B603177"/>
    <w:rsid w:val="1B695518"/>
    <w:rsid w:val="1B699C20"/>
    <w:rsid w:val="1B6C92F7"/>
    <w:rsid w:val="1B71DEDB"/>
    <w:rsid w:val="1B7F68AC"/>
    <w:rsid w:val="1B86BDBF"/>
    <w:rsid w:val="1B872351"/>
    <w:rsid w:val="1B8768CF"/>
    <w:rsid w:val="1B8ADD76"/>
    <w:rsid w:val="1B8D54CA"/>
    <w:rsid w:val="1B9A625A"/>
    <w:rsid w:val="1BA6C423"/>
    <w:rsid w:val="1BAA755E"/>
    <w:rsid w:val="1BB2D0AA"/>
    <w:rsid w:val="1BC45F9B"/>
    <w:rsid w:val="1BD00ACC"/>
    <w:rsid w:val="1BD5B7B7"/>
    <w:rsid w:val="1BE51B39"/>
    <w:rsid w:val="1BE59656"/>
    <w:rsid w:val="1BF15D1D"/>
    <w:rsid w:val="1BF31C7A"/>
    <w:rsid w:val="1C00956A"/>
    <w:rsid w:val="1C02208A"/>
    <w:rsid w:val="1C141CA2"/>
    <w:rsid w:val="1C189AF5"/>
    <w:rsid w:val="1C189B3A"/>
    <w:rsid w:val="1C1A98BB"/>
    <w:rsid w:val="1C22B0BD"/>
    <w:rsid w:val="1C2CEC6B"/>
    <w:rsid w:val="1C2E35E6"/>
    <w:rsid w:val="1C35ED6A"/>
    <w:rsid w:val="1C378201"/>
    <w:rsid w:val="1C3AC1D9"/>
    <w:rsid w:val="1C44B42F"/>
    <w:rsid w:val="1C465196"/>
    <w:rsid w:val="1C4A4DF3"/>
    <w:rsid w:val="1C4CC911"/>
    <w:rsid w:val="1C4EFE25"/>
    <w:rsid w:val="1C5B789E"/>
    <w:rsid w:val="1C5C98EA"/>
    <w:rsid w:val="1C5D2A70"/>
    <w:rsid w:val="1C5F3ECE"/>
    <w:rsid w:val="1C60E96F"/>
    <w:rsid w:val="1C67DC6A"/>
    <w:rsid w:val="1C6C4EBE"/>
    <w:rsid w:val="1C6D3B02"/>
    <w:rsid w:val="1C7485A4"/>
    <w:rsid w:val="1C7E933C"/>
    <w:rsid w:val="1C820A68"/>
    <w:rsid w:val="1C82D2DF"/>
    <w:rsid w:val="1C83770A"/>
    <w:rsid w:val="1C95A9FC"/>
    <w:rsid w:val="1C99551C"/>
    <w:rsid w:val="1CA1177E"/>
    <w:rsid w:val="1CA2215F"/>
    <w:rsid w:val="1CA2ED7A"/>
    <w:rsid w:val="1CA90B0A"/>
    <w:rsid w:val="1CB30692"/>
    <w:rsid w:val="1CB43501"/>
    <w:rsid w:val="1CB79E47"/>
    <w:rsid w:val="1CBE8835"/>
    <w:rsid w:val="1CBFEE05"/>
    <w:rsid w:val="1CC37B1E"/>
    <w:rsid w:val="1CD07DA2"/>
    <w:rsid w:val="1CD0D5B0"/>
    <w:rsid w:val="1CD374FF"/>
    <w:rsid w:val="1CD87E28"/>
    <w:rsid w:val="1CE918F5"/>
    <w:rsid w:val="1CF8FE47"/>
    <w:rsid w:val="1CFABFAD"/>
    <w:rsid w:val="1D019E47"/>
    <w:rsid w:val="1D3755F2"/>
    <w:rsid w:val="1D390C3C"/>
    <w:rsid w:val="1D44AD85"/>
    <w:rsid w:val="1D456646"/>
    <w:rsid w:val="1D475B06"/>
    <w:rsid w:val="1D4A7082"/>
    <w:rsid w:val="1D50EB29"/>
    <w:rsid w:val="1D552E74"/>
    <w:rsid w:val="1D64851F"/>
    <w:rsid w:val="1D64A1B4"/>
    <w:rsid w:val="1D77B259"/>
    <w:rsid w:val="1D77E97E"/>
    <w:rsid w:val="1D7924E6"/>
    <w:rsid w:val="1D980F61"/>
    <w:rsid w:val="1DA199EE"/>
    <w:rsid w:val="1DA50C60"/>
    <w:rsid w:val="1DAC540A"/>
    <w:rsid w:val="1DB47358"/>
    <w:rsid w:val="1DB8E1B3"/>
    <w:rsid w:val="1DC18F46"/>
    <w:rsid w:val="1DC80BD8"/>
    <w:rsid w:val="1DD28914"/>
    <w:rsid w:val="1DD7B40A"/>
    <w:rsid w:val="1DDB4E9D"/>
    <w:rsid w:val="1DDC5B78"/>
    <w:rsid w:val="1DDD495E"/>
    <w:rsid w:val="1DDEF0AD"/>
    <w:rsid w:val="1DE232A4"/>
    <w:rsid w:val="1DE582CA"/>
    <w:rsid w:val="1DE69AEC"/>
    <w:rsid w:val="1DE744A2"/>
    <w:rsid w:val="1DE86BB4"/>
    <w:rsid w:val="1DF2A7BF"/>
    <w:rsid w:val="1DFED60D"/>
    <w:rsid w:val="1E028B97"/>
    <w:rsid w:val="1E051DC3"/>
    <w:rsid w:val="1E1552E2"/>
    <w:rsid w:val="1E19330B"/>
    <w:rsid w:val="1E19CA83"/>
    <w:rsid w:val="1E28E5DB"/>
    <w:rsid w:val="1E35AD41"/>
    <w:rsid w:val="1E3ED69B"/>
    <w:rsid w:val="1E3F54BA"/>
    <w:rsid w:val="1E44015F"/>
    <w:rsid w:val="1E564FD4"/>
    <w:rsid w:val="1E5E29FA"/>
    <w:rsid w:val="1E632451"/>
    <w:rsid w:val="1E6CA66F"/>
    <w:rsid w:val="1E719A78"/>
    <w:rsid w:val="1E73F032"/>
    <w:rsid w:val="1E7883B9"/>
    <w:rsid w:val="1E7EA002"/>
    <w:rsid w:val="1E8C6D1D"/>
    <w:rsid w:val="1E94968B"/>
    <w:rsid w:val="1E977BEF"/>
    <w:rsid w:val="1EAAA8F7"/>
    <w:rsid w:val="1EB1D21F"/>
    <w:rsid w:val="1EB8E4BB"/>
    <w:rsid w:val="1EBDD4B7"/>
    <w:rsid w:val="1ECBB58F"/>
    <w:rsid w:val="1EE2577C"/>
    <w:rsid w:val="1EF1F180"/>
    <w:rsid w:val="1EF3633F"/>
    <w:rsid w:val="1F0117AA"/>
    <w:rsid w:val="1F0188A6"/>
    <w:rsid w:val="1F1BBBED"/>
    <w:rsid w:val="1F33F70D"/>
    <w:rsid w:val="1F41B82F"/>
    <w:rsid w:val="1F4E2EBF"/>
    <w:rsid w:val="1F503795"/>
    <w:rsid w:val="1F50838A"/>
    <w:rsid w:val="1F5698CB"/>
    <w:rsid w:val="1F68EC19"/>
    <w:rsid w:val="1F6B8C56"/>
    <w:rsid w:val="1F6E143F"/>
    <w:rsid w:val="1F76198D"/>
    <w:rsid w:val="1F7623A2"/>
    <w:rsid w:val="1F885DF0"/>
    <w:rsid w:val="1F9D565A"/>
    <w:rsid w:val="1FA5C0D3"/>
    <w:rsid w:val="1FB6531F"/>
    <w:rsid w:val="1FB75957"/>
    <w:rsid w:val="1FB8EEE3"/>
    <w:rsid w:val="1FB913B2"/>
    <w:rsid w:val="1FBA3796"/>
    <w:rsid w:val="1FC5875A"/>
    <w:rsid w:val="1FCA0156"/>
    <w:rsid w:val="1FCA2ED0"/>
    <w:rsid w:val="1FCB8ECD"/>
    <w:rsid w:val="1FD20607"/>
    <w:rsid w:val="1FD3A1B3"/>
    <w:rsid w:val="1FDD4DF6"/>
    <w:rsid w:val="1FE919BD"/>
    <w:rsid w:val="1FEFC2AE"/>
    <w:rsid w:val="1FF56E1B"/>
    <w:rsid w:val="1FFA3089"/>
    <w:rsid w:val="1FFF1581"/>
    <w:rsid w:val="20176F1B"/>
    <w:rsid w:val="20194FE2"/>
    <w:rsid w:val="2019CDEE"/>
    <w:rsid w:val="201AFB45"/>
    <w:rsid w:val="201DBEC3"/>
    <w:rsid w:val="201F9AA4"/>
    <w:rsid w:val="202B9DC9"/>
    <w:rsid w:val="202E5AF5"/>
    <w:rsid w:val="204756CF"/>
    <w:rsid w:val="2052F12D"/>
    <w:rsid w:val="20533DFF"/>
    <w:rsid w:val="205491F2"/>
    <w:rsid w:val="20668491"/>
    <w:rsid w:val="2072CDC0"/>
    <w:rsid w:val="20735CBD"/>
    <w:rsid w:val="2074736F"/>
    <w:rsid w:val="20785C20"/>
    <w:rsid w:val="20789838"/>
    <w:rsid w:val="207BE9A0"/>
    <w:rsid w:val="20848B55"/>
    <w:rsid w:val="208CFFD7"/>
    <w:rsid w:val="20AFB014"/>
    <w:rsid w:val="20AFEA01"/>
    <w:rsid w:val="20B2FA46"/>
    <w:rsid w:val="20B56684"/>
    <w:rsid w:val="20BBACFF"/>
    <w:rsid w:val="20C20D05"/>
    <w:rsid w:val="20C9BF52"/>
    <w:rsid w:val="20CCBC9D"/>
    <w:rsid w:val="20CD99AA"/>
    <w:rsid w:val="20CE73F7"/>
    <w:rsid w:val="20D124E0"/>
    <w:rsid w:val="20DB41FF"/>
    <w:rsid w:val="20DFF946"/>
    <w:rsid w:val="20F7B17A"/>
    <w:rsid w:val="20F9713F"/>
    <w:rsid w:val="2101B445"/>
    <w:rsid w:val="2105E822"/>
    <w:rsid w:val="21096D3B"/>
    <w:rsid w:val="2109DA32"/>
    <w:rsid w:val="210DF460"/>
    <w:rsid w:val="2125E1E9"/>
    <w:rsid w:val="2126CF43"/>
    <w:rsid w:val="2131902F"/>
    <w:rsid w:val="2132816C"/>
    <w:rsid w:val="21374951"/>
    <w:rsid w:val="21439F17"/>
    <w:rsid w:val="2144AFE2"/>
    <w:rsid w:val="215AFBE7"/>
    <w:rsid w:val="2165A45E"/>
    <w:rsid w:val="2165F8D7"/>
    <w:rsid w:val="216D76FD"/>
    <w:rsid w:val="2170FDB7"/>
    <w:rsid w:val="2185275D"/>
    <w:rsid w:val="218555E2"/>
    <w:rsid w:val="21897A2A"/>
    <w:rsid w:val="218A2758"/>
    <w:rsid w:val="218EC994"/>
    <w:rsid w:val="21908AE4"/>
    <w:rsid w:val="219F0CE4"/>
    <w:rsid w:val="219F5E3E"/>
    <w:rsid w:val="21A361BB"/>
    <w:rsid w:val="21A78E93"/>
    <w:rsid w:val="21A8A3C2"/>
    <w:rsid w:val="21ACF03E"/>
    <w:rsid w:val="21C99992"/>
    <w:rsid w:val="21D10CE6"/>
    <w:rsid w:val="21DA2320"/>
    <w:rsid w:val="21DCC4F4"/>
    <w:rsid w:val="21E688B6"/>
    <w:rsid w:val="21E9178D"/>
    <w:rsid w:val="21E99A25"/>
    <w:rsid w:val="21F13A31"/>
    <w:rsid w:val="2204B446"/>
    <w:rsid w:val="2207EE3C"/>
    <w:rsid w:val="220B167C"/>
    <w:rsid w:val="220C9DE5"/>
    <w:rsid w:val="2219DB66"/>
    <w:rsid w:val="221ED94B"/>
    <w:rsid w:val="22205259"/>
    <w:rsid w:val="222726FF"/>
    <w:rsid w:val="222786BA"/>
    <w:rsid w:val="222C1842"/>
    <w:rsid w:val="2231979C"/>
    <w:rsid w:val="22407D16"/>
    <w:rsid w:val="2240C0A9"/>
    <w:rsid w:val="2243C926"/>
    <w:rsid w:val="22469685"/>
    <w:rsid w:val="224C8A4C"/>
    <w:rsid w:val="225F61D7"/>
    <w:rsid w:val="2267284B"/>
    <w:rsid w:val="226930F9"/>
    <w:rsid w:val="226E36F2"/>
    <w:rsid w:val="22708294"/>
    <w:rsid w:val="227111FC"/>
    <w:rsid w:val="22775D67"/>
    <w:rsid w:val="227FF13D"/>
    <w:rsid w:val="2285E340"/>
    <w:rsid w:val="22894494"/>
    <w:rsid w:val="228ACF04"/>
    <w:rsid w:val="228F318C"/>
    <w:rsid w:val="22965C16"/>
    <w:rsid w:val="229C3156"/>
    <w:rsid w:val="229CB1DD"/>
    <w:rsid w:val="229F0D98"/>
    <w:rsid w:val="22A55789"/>
    <w:rsid w:val="22AC603B"/>
    <w:rsid w:val="22AF9AC5"/>
    <w:rsid w:val="22B044A2"/>
    <w:rsid w:val="22B27889"/>
    <w:rsid w:val="22B32DE1"/>
    <w:rsid w:val="22B799B5"/>
    <w:rsid w:val="22CC87DF"/>
    <w:rsid w:val="22D0FB90"/>
    <w:rsid w:val="22D255A9"/>
    <w:rsid w:val="22D3634D"/>
    <w:rsid w:val="22E24B52"/>
    <w:rsid w:val="22E2A8DB"/>
    <w:rsid w:val="22EFD7B1"/>
    <w:rsid w:val="22FCACA5"/>
    <w:rsid w:val="22FDABEA"/>
    <w:rsid w:val="22FF02FE"/>
    <w:rsid w:val="2303BFF7"/>
    <w:rsid w:val="2304D737"/>
    <w:rsid w:val="2307BE7E"/>
    <w:rsid w:val="230B69DA"/>
    <w:rsid w:val="230C9A5C"/>
    <w:rsid w:val="230F0240"/>
    <w:rsid w:val="23172B84"/>
    <w:rsid w:val="2317CBFF"/>
    <w:rsid w:val="231A4BE6"/>
    <w:rsid w:val="2321C10C"/>
    <w:rsid w:val="2322281F"/>
    <w:rsid w:val="2332EAA3"/>
    <w:rsid w:val="23378744"/>
    <w:rsid w:val="2338A23A"/>
    <w:rsid w:val="2338C492"/>
    <w:rsid w:val="233A06AD"/>
    <w:rsid w:val="233ECBF9"/>
    <w:rsid w:val="23468EA5"/>
    <w:rsid w:val="23478975"/>
    <w:rsid w:val="234B00E0"/>
    <w:rsid w:val="23514AF3"/>
    <w:rsid w:val="2351D286"/>
    <w:rsid w:val="235BD618"/>
    <w:rsid w:val="235DAF1B"/>
    <w:rsid w:val="236AE268"/>
    <w:rsid w:val="237125B5"/>
    <w:rsid w:val="237C3417"/>
    <w:rsid w:val="239254B7"/>
    <w:rsid w:val="239826B7"/>
    <w:rsid w:val="23A1DC86"/>
    <w:rsid w:val="23B05827"/>
    <w:rsid w:val="23B6ADCA"/>
    <w:rsid w:val="23B8132F"/>
    <w:rsid w:val="23B8D362"/>
    <w:rsid w:val="23C0013A"/>
    <w:rsid w:val="23C8B2EA"/>
    <w:rsid w:val="23CC63FB"/>
    <w:rsid w:val="23CEE502"/>
    <w:rsid w:val="23D847C5"/>
    <w:rsid w:val="23D9F49C"/>
    <w:rsid w:val="23DBB263"/>
    <w:rsid w:val="23E60BB4"/>
    <w:rsid w:val="23E6D375"/>
    <w:rsid w:val="23EE9ADD"/>
    <w:rsid w:val="23F551B7"/>
    <w:rsid w:val="23F84E80"/>
    <w:rsid w:val="23F89DF4"/>
    <w:rsid w:val="23FF08C7"/>
    <w:rsid w:val="24008725"/>
    <w:rsid w:val="2404899F"/>
    <w:rsid w:val="240C4C06"/>
    <w:rsid w:val="241B260A"/>
    <w:rsid w:val="241F4957"/>
    <w:rsid w:val="24230A0A"/>
    <w:rsid w:val="24268227"/>
    <w:rsid w:val="24318460"/>
    <w:rsid w:val="24403CF3"/>
    <w:rsid w:val="2441F228"/>
    <w:rsid w:val="246CA2FD"/>
    <w:rsid w:val="246ECBD7"/>
    <w:rsid w:val="2475A6F3"/>
    <w:rsid w:val="247B3D3E"/>
    <w:rsid w:val="247CCB29"/>
    <w:rsid w:val="247FBA97"/>
    <w:rsid w:val="24872814"/>
    <w:rsid w:val="2487E6D9"/>
    <w:rsid w:val="24941895"/>
    <w:rsid w:val="249EBE45"/>
    <w:rsid w:val="24A3C10B"/>
    <w:rsid w:val="24A51739"/>
    <w:rsid w:val="24A5DA84"/>
    <w:rsid w:val="24A6CB1C"/>
    <w:rsid w:val="24AC4D72"/>
    <w:rsid w:val="24AD6966"/>
    <w:rsid w:val="24B63356"/>
    <w:rsid w:val="24C1575A"/>
    <w:rsid w:val="24D2A3B1"/>
    <w:rsid w:val="24D83035"/>
    <w:rsid w:val="24DBE254"/>
    <w:rsid w:val="24E9A802"/>
    <w:rsid w:val="24F2B830"/>
    <w:rsid w:val="24FC0B3B"/>
    <w:rsid w:val="24FD4271"/>
    <w:rsid w:val="25080416"/>
    <w:rsid w:val="2508B4B8"/>
    <w:rsid w:val="250E70CA"/>
    <w:rsid w:val="2510AEC3"/>
    <w:rsid w:val="2519EA7B"/>
    <w:rsid w:val="2523E848"/>
    <w:rsid w:val="252BE47A"/>
    <w:rsid w:val="252F4DC6"/>
    <w:rsid w:val="25303407"/>
    <w:rsid w:val="2537EA70"/>
    <w:rsid w:val="25443E9E"/>
    <w:rsid w:val="2544BFD3"/>
    <w:rsid w:val="254C3174"/>
    <w:rsid w:val="2550782B"/>
    <w:rsid w:val="255887E4"/>
    <w:rsid w:val="255C3DE2"/>
    <w:rsid w:val="2565467E"/>
    <w:rsid w:val="256C4151"/>
    <w:rsid w:val="2579AE3A"/>
    <w:rsid w:val="257CAE8E"/>
    <w:rsid w:val="2582D0F0"/>
    <w:rsid w:val="25833563"/>
    <w:rsid w:val="258DC227"/>
    <w:rsid w:val="259021D9"/>
    <w:rsid w:val="25974A02"/>
    <w:rsid w:val="2598D8AD"/>
    <w:rsid w:val="25A256FD"/>
    <w:rsid w:val="25B370E4"/>
    <w:rsid w:val="25B859FE"/>
    <w:rsid w:val="25BD8230"/>
    <w:rsid w:val="25BD90A5"/>
    <w:rsid w:val="25BE78C3"/>
    <w:rsid w:val="25BFE1E2"/>
    <w:rsid w:val="25CC8436"/>
    <w:rsid w:val="25D4A392"/>
    <w:rsid w:val="25D86A37"/>
    <w:rsid w:val="25F44578"/>
    <w:rsid w:val="25F843C2"/>
    <w:rsid w:val="25F9203B"/>
    <w:rsid w:val="25F96ECD"/>
    <w:rsid w:val="25FBC11C"/>
    <w:rsid w:val="26001B9C"/>
    <w:rsid w:val="2602791F"/>
    <w:rsid w:val="2604D8D1"/>
    <w:rsid w:val="260BAA11"/>
    <w:rsid w:val="260CC7C7"/>
    <w:rsid w:val="260DAD94"/>
    <w:rsid w:val="260E795E"/>
    <w:rsid w:val="26110A33"/>
    <w:rsid w:val="261BF3E8"/>
    <w:rsid w:val="261DD69A"/>
    <w:rsid w:val="26216DFF"/>
    <w:rsid w:val="2622BAED"/>
    <w:rsid w:val="26531B3F"/>
    <w:rsid w:val="2658268E"/>
    <w:rsid w:val="265A594B"/>
    <w:rsid w:val="265A7885"/>
    <w:rsid w:val="265DC284"/>
    <w:rsid w:val="26600DC6"/>
    <w:rsid w:val="26629765"/>
    <w:rsid w:val="266B477D"/>
    <w:rsid w:val="266F6F65"/>
    <w:rsid w:val="2671C844"/>
    <w:rsid w:val="2673EC85"/>
    <w:rsid w:val="268E0978"/>
    <w:rsid w:val="26952F39"/>
    <w:rsid w:val="26999F44"/>
    <w:rsid w:val="269EF4D8"/>
    <w:rsid w:val="26A1D5E5"/>
    <w:rsid w:val="26A54E97"/>
    <w:rsid w:val="26A6252C"/>
    <w:rsid w:val="26B1A55B"/>
    <w:rsid w:val="26B1BE60"/>
    <w:rsid w:val="26BAC545"/>
    <w:rsid w:val="26CB72A2"/>
    <w:rsid w:val="26D0222D"/>
    <w:rsid w:val="26E210B8"/>
    <w:rsid w:val="26E8F1FE"/>
    <w:rsid w:val="26EBF975"/>
    <w:rsid w:val="26F9FEC1"/>
    <w:rsid w:val="26FC579D"/>
    <w:rsid w:val="26FF7EDA"/>
    <w:rsid w:val="270098C7"/>
    <w:rsid w:val="2709F43A"/>
    <w:rsid w:val="270D3865"/>
    <w:rsid w:val="270D9189"/>
    <w:rsid w:val="2715BBBA"/>
    <w:rsid w:val="2718DB16"/>
    <w:rsid w:val="2732E0D4"/>
    <w:rsid w:val="273E64EA"/>
    <w:rsid w:val="27444471"/>
    <w:rsid w:val="274EAD5F"/>
    <w:rsid w:val="274F3ACA"/>
    <w:rsid w:val="274FAE4C"/>
    <w:rsid w:val="27518BF2"/>
    <w:rsid w:val="2752E7F8"/>
    <w:rsid w:val="2757A3F2"/>
    <w:rsid w:val="27604B64"/>
    <w:rsid w:val="2761841E"/>
    <w:rsid w:val="2763EE0E"/>
    <w:rsid w:val="276BDE6C"/>
    <w:rsid w:val="277073F3"/>
    <w:rsid w:val="27817851"/>
    <w:rsid w:val="27985323"/>
    <w:rsid w:val="279F5FFD"/>
    <w:rsid w:val="27B2E09B"/>
    <w:rsid w:val="27BB9830"/>
    <w:rsid w:val="27BF6477"/>
    <w:rsid w:val="27C1B06F"/>
    <w:rsid w:val="27C45696"/>
    <w:rsid w:val="27C7114D"/>
    <w:rsid w:val="27CDE625"/>
    <w:rsid w:val="27D2F71F"/>
    <w:rsid w:val="27D5B9C0"/>
    <w:rsid w:val="27DA5E9F"/>
    <w:rsid w:val="27DFEA36"/>
    <w:rsid w:val="27E63525"/>
    <w:rsid w:val="27EDCD40"/>
    <w:rsid w:val="27F91B80"/>
    <w:rsid w:val="27FA1355"/>
    <w:rsid w:val="27FCF74C"/>
    <w:rsid w:val="2812C575"/>
    <w:rsid w:val="2817223F"/>
    <w:rsid w:val="281A29A7"/>
    <w:rsid w:val="281CBAD9"/>
    <w:rsid w:val="281E519A"/>
    <w:rsid w:val="28202472"/>
    <w:rsid w:val="282935B0"/>
    <w:rsid w:val="2841F638"/>
    <w:rsid w:val="2844246D"/>
    <w:rsid w:val="284D1939"/>
    <w:rsid w:val="28522A12"/>
    <w:rsid w:val="285D0BB5"/>
    <w:rsid w:val="2868DE16"/>
    <w:rsid w:val="286DC5C5"/>
    <w:rsid w:val="2872F19B"/>
    <w:rsid w:val="2879BE44"/>
    <w:rsid w:val="287FB9B0"/>
    <w:rsid w:val="28828153"/>
    <w:rsid w:val="28842CD8"/>
    <w:rsid w:val="288B25E9"/>
    <w:rsid w:val="288E26BE"/>
    <w:rsid w:val="28A2185A"/>
    <w:rsid w:val="28A975D6"/>
    <w:rsid w:val="28B46A4D"/>
    <w:rsid w:val="28B46FBC"/>
    <w:rsid w:val="28B78803"/>
    <w:rsid w:val="28C080B9"/>
    <w:rsid w:val="28C3775E"/>
    <w:rsid w:val="28D251F1"/>
    <w:rsid w:val="28DCC4DE"/>
    <w:rsid w:val="28E076A1"/>
    <w:rsid w:val="28E58BC8"/>
    <w:rsid w:val="28E5E8C2"/>
    <w:rsid w:val="28E99C64"/>
    <w:rsid w:val="290655F9"/>
    <w:rsid w:val="29245C8E"/>
    <w:rsid w:val="292599E4"/>
    <w:rsid w:val="2928C859"/>
    <w:rsid w:val="292B0EBA"/>
    <w:rsid w:val="292E1078"/>
    <w:rsid w:val="293791F4"/>
    <w:rsid w:val="29401FB6"/>
    <w:rsid w:val="2950E630"/>
    <w:rsid w:val="2956B0B7"/>
    <w:rsid w:val="29631BAD"/>
    <w:rsid w:val="29843281"/>
    <w:rsid w:val="299B428D"/>
    <w:rsid w:val="299BD58C"/>
    <w:rsid w:val="29A979F6"/>
    <w:rsid w:val="29AC1444"/>
    <w:rsid w:val="29AF9BC4"/>
    <w:rsid w:val="29B2FEBE"/>
    <w:rsid w:val="29B544ED"/>
    <w:rsid w:val="29BC2D46"/>
    <w:rsid w:val="29C1A9B8"/>
    <w:rsid w:val="29C41554"/>
    <w:rsid w:val="29C9F0F8"/>
    <w:rsid w:val="29D2F264"/>
    <w:rsid w:val="29E5AC4F"/>
    <w:rsid w:val="29EEB9E7"/>
    <w:rsid w:val="29F31E0B"/>
    <w:rsid w:val="29F52074"/>
    <w:rsid w:val="29F54924"/>
    <w:rsid w:val="29F7F5AD"/>
    <w:rsid w:val="29F9D57C"/>
    <w:rsid w:val="29FC309C"/>
    <w:rsid w:val="2A01200C"/>
    <w:rsid w:val="2A12BF46"/>
    <w:rsid w:val="2A15CCD8"/>
    <w:rsid w:val="2A1EACB1"/>
    <w:rsid w:val="2A2E60EC"/>
    <w:rsid w:val="2A31E752"/>
    <w:rsid w:val="2A39A34B"/>
    <w:rsid w:val="2A42E387"/>
    <w:rsid w:val="2A4328BD"/>
    <w:rsid w:val="2A460870"/>
    <w:rsid w:val="2A46D4B5"/>
    <w:rsid w:val="2A5BB152"/>
    <w:rsid w:val="2A6937A0"/>
    <w:rsid w:val="2A695478"/>
    <w:rsid w:val="2A6AF3EB"/>
    <w:rsid w:val="2A758B68"/>
    <w:rsid w:val="2A795296"/>
    <w:rsid w:val="2A8A636F"/>
    <w:rsid w:val="2A93C045"/>
    <w:rsid w:val="2AA0CF36"/>
    <w:rsid w:val="2AA2F796"/>
    <w:rsid w:val="2AB9643B"/>
    <w:rsid w:val="2ABC2C18"/>
    <w:rsid w:val="2AC4F6B4"/>
    <w:rsid w:val="2AC98892"/>
    <w:rsid w:val="2AD50C85"/>
    <w:rsid w:val="2AD78A3D"/>
    <w:rsid w:val="2AD9E327"/>
    <w:rsid w:val="2ADA0D8F"/>
    <w:rsid w:val="2ADD02E7"/>
    <w:rsid w:val="2AE0B336"/>
    <w:rsid w:val="2AE36673"/>
    <w:rsid w:val="2AE8BFAA"/>
    <w:rsid w:val="2B0DE214"/>
    <w:rsid w:val="2B1D57D6"/>
    <w:rsid w:val="2B3913E8"/>
    <w:rsid w:val="2B3A69F0"/>
    <w:rsid w:val="2B3ECA52"/>
    <w:rsid w:val="2B4590CA"/>
    <w:rsid w:val="2B478F0F"/>
    <w:rsid w:val="2B498757"/>
    <w:rsid w:val="2B593783"/>
    <w:rsid w:val="2B7BE34C"/>
    <w:rsid w:val="2B7C349E"/>
    <w:rsid w:val="2B7F5971"/>
    <w:rsid w:val="2B82188B"/>
    <w:rsid w:val="2B86BE5C"/>
    <w:rsid w:val="2B8B191C"/>
    <w:rsid w:val="2B9B311F"/>
    <w:rsid w:val="2BAA6B68"/>
    <w:rsid w:val="2BABA993"/>
    <w:rsid w:val="2BB24FFB"/>
    <w:rsid w:val="2BB25132"/>
    <w:rsid w:val="2BB869DB"/>
    <w:rsid w:val="2BC10109"/>
    <w:rsid w:val="2BCED739"/>
    <w:rsid w:val="2BD20C15"/>
    <w:rsid w:val="2BD93088"/>
    <w:rsid w:val="2BDDAA93"/>
    <w:rsid w:val="2BDEF91E"/>
    <w:rsid w:val="2BE93058"/>
    <w:rsid w:val="2BEAC7A0"/>
    <w:rsid w:val="2BEBFDE4"/>
    <w:rsid w:val="2BEDC791"/>
    <w:rsid w:val="2BFE346D"/>
    <w:rsid w:val="2C024274"/>
    <w:rsid w:val="2C1132F7"/>
    <w:rsid w:val="2C1352D0"/>
    <w:rsid w:val="2C138D3E"/>
    <w:rsid w:val="2C190598"/>
    <w:rsid w:val="2C30BB06"/>
    <w:rsid w:val="2C36E02C"/>
    <w:rsid w:val="2C3CF530"/>
    <w:rsid w:val="2C5F2F93"/>
    <w:rsid w:val="2C69EC2F"/>
    <w:rsid w:val="2C6B05FA"/>
    <w:rsid w:val="2C731E36"/>
    <w:rsid w:val="2C74B969"/>
    <w:rsid w:val="2C7FD43E"/>
    <w:rsid w:val="2C88019C"/>
    <w:rsid w:val="2C9016E6"/>
    <w:rsid w:val="2C9794E8"/>
    <w:rsid w:val="2CA21224"/>
    <w:rsid w:val="2CA2BF02"/>
    <w:rsid w:val="2CAB1058"/>
    <w:rsid w:val="2CADED04"/>
    <w:rsid w:val="2CBF5506"/>
    <w:rsid w:val="2CC9A0F7"/>
    <w:rsid w:val="2CC9CEF1"/>
    <w:rsid w:val="2CD293CE"/>
    <w:rsid w:val="2CD63A51"/>
    <w:rsid w:val="2CD6B22E"/>
    <w:rsid w:val="2CD94DF8"/>
    <w:rsid w:val="2CE114C6"/>
    <w:rsid w:val="2CF461E0"/>
    <w:rsid w:val="2CFDB811"/>
    <w:rsid w:val="2CFFFCFC"/>
    <w:rsid w:val="2D000EE0"/>
    <w:rsid w:val="2D016BCF"/>
    <w:rsid w:val="2D03B47D"/>
    <w:rsid w:val="2D165532"/>
    <w:rsid w:val="2D18A805"/>
    <w:rsid w:val="2D22870B"/>
    <w:rsid w:val="2D288473"/>
    <w:rsid w:val="2D2F31C8"/>
    <w:rsid w:val="2D3686DB"/>
    <w:rsid w:val="2D36B891"/>
    <w:rsid w:val="2D5B4C21"/>
    <w:rsid w:val="2D5B9463"/>
    <w:rsid w:val="2D5F166E"/>
    <w:rsid w:val="2D5FFB66"/>
    <w:rsid w:val="2D608568"/>
    <w:rsid w:val="2D7850EE"/>
    <w:rsid w:val="2D797A62"/>
    <w:rsid w:val="2D859C51"/>
    <w:rsid w:val="2D8CA63C"/>
    <w:rsid w:val="2D8CC64F"/>
    <w:rsid w:val="2D93AA08"/>
    <w:rsid w:val="2D9F967C"/>
    <w:rsid w:val="2DA2CE56"/>
    <w:rsid w:val="2DAE6AF1"/>
    <w:rsid w:val="2DB71BD5"/>
    <w:rsid w:val="2DBDFB5B"/>
    <w:rsid w:val="2DCA1720"/>
    <w:rsid w:val="2DCC1FEA"/>
    <w:rsid w:val="2DD23F38"/>
    <w:rsid w:val="2DEE4666"/>
    <w:rsid w:val="2DFC4595"/>
    <w:rsid w:val="2E10F33F"/>
    <w:rsid w:val="2E15F1C7"/>
    <w:rsid w:val="2E233F59"/>
    <w:rsid w:val="2E240C6D"/>
    <w:rsid w:val="2E4433A9"/>
    <w:rsid w:val="2E4C06CB"/>
    <w:rsid w:val="2E5398B6"/>
    <w:rsid w:val="2E5D78D9"/>
    <w:rsid w:val="2E5D8845"/>
    <w:rsid w:val="2E63EF9B"/>
    <w:rsid w:val="2E6E3A06"/>
    <w:rsid w:val="2E706736"/>
    <w:rsid w:val="2E70DC88"/>
    <w:rsid w:val="2E73FBDB"/>
    <w:rsid w:val="2E74FCB0"/>
    <w:rsid w:val="2E7E5257"/>
    <w:rsid w:val="2E7EDC62"/>
    <w:rsid w:val="2E8CCE8B"/>
    <w:rsid w:val="2E92427F"/>
    <w:rsid w:val="2E9682B5"/>
    <w:rsid w:val="2E9760B5"/>
    <w:rsid w:val="2E9A4578"/>
    <w:rsid w:val="2E9FB8B7"/>
    <w:rsid w:val="2EA12931"/>
    <w:rsid w:val="2EA581F3"/>
    <w:rsid w:val="2EA60E62"/>
    <w:rsid w:val="2EB662BB"/>
    <w:rsid w:val="2EBC7679"/>
    <w:rsid w:val="2EC3580A"/>
    <w:rsid w:val="2EC63E9E"/>
    <w:rsid w:val="2EC99EC6"/>
    <w:rsid w:val="2ED55AE3"/>
    <w:rsid w:val="2ED700C1"/>
    <w:rsid w:val="2ED7D24D"/>
    <w:rsid w:val="2EDA4420"/>
    <w:rsid w:val="2EDF77FE"/>
    <w:rsid w:val="2EEF0090"/>
    <w:rsid w:val="2EEFFED8"/>
    <w:rsid w:val="2EF049CB"/>
    <w:rsid w:val="2EF9FF4E"/>
    <w:rsid w:val="2F016128"/>
    <w:rsid w:val="2F055EDF"/>
    <w:rsid w:val="2F1DD9F0"/>
    <w:rsid w:val="2F1EAEA4"/>
    <w:rsid w:val="2F20BDC1"/>
    <w:rsid w:val="2F2F3470"/>
    <w:rsid w:val="2F373423"/>
    <w:rsid w:val="2F39E445"/>
    <w:rsid w:val="2F46AB5F"/>
    <w:rsid w:val="2F4C2FEE"/>
    <w:rsid w:val="2F51DDB2"/>
    <w:rsid w:val="2F622487"/>
    <w:rsid w:val="2F673261"/>
    <w:rsid w:val="2F700727"/>
    <w:rsid w:val="2F70B730"/>
    <w:rsid w:val="2F73242D"/>
    <w:rsid w:val="2F76810A"/>
    <w:rsid w:val="2F76C1AB"/>
    <w:rsid w:val="2F79A14E"/>
    <w:rsid w:val="2F7B35B6"/>
    <w:rsid w:val="2F7F265C"/>
    <w:rsid w:val="2F825822"/>
    <w:rsid w:val="2F89446E"/>
    <w:rsid w:val="2F8F75E2"/>
    <w:rsid w:val="2F9CA8DB"/>
    <w:rsid w:val="2FA5C3FD"/>
    <w:rsid w:val="2FA8BE7E"/>
    <w:rsid w:val="2FAD0446"/>
    <w:rsid w:val="2FAD544A"/>
    <w:rsid w:val="2FB91DDE"/>
    <w:rsid w:val="2FB9924D"/>
    <w:rsid w:val="2FD61060"/>
    <w:rsid w:val="2FD82E33"/>
    <w:rsid w:val="2FD9EB6F"/>
    <w:rsid w:val="2FDC7CD0"/>
    <w:rsid w:val="2FE4E830"/>
    <w:rsid w:val="2FE5A172"/>
    <w:rsid w:val="2FE6CA70"/>
    <w:rsid w:val="2FEBFF51"/>
    <w:rsid w:val="2FF677A2"/>
    <w:rsid w:val="2FF89CBF"/>
    <w:rsid w:val="2FFA757A"/>
    <w:rsid w:val="2FFB85FE"/>
    <w:rsid w:val="3003154F"/>
    <w:rsid w:val="30033BDE"/>
    <w:rsid w:val="30049A4B"/>
    <w:rsid w:val="3004F8E4"/>
    <w:rsid w:val="300DDB13"/>
    <w:rsid w:val="300E3624"/>
    <w:rsid w:val="301FCB9D"/>
    <w:rsid w:val="30205530"/>
    <w:rsid w:val="302BC15F"/>
    <w:rsid w:val="3033B431"/>
    <w:rsid w:val="30382087"/>
    <w:rsid w:val="303D93AE"/>
    <w:rsid w:val="30447D70"/>
    <w:rsid w:val="304BF761"/>
    <w:rsid w:val="304F65FD"/>
    <w:rsid w:val="3050AC38"/>
    <w:rsid w:val="30571301"/>
    <w:rsid w:val="30648AA8"/>
    <w:rsid w:val="30649CE3"/>
    <w:rsid w:val="30689AC4"/>
    <w:rsid w:val="3069EF62"/>
    <w:rsid w:val="306D4BFB"/>
    <w:rsid w:val="306EFD9A"/>
    <w:rsid w:val="306FCAA1"/>
    <w:rsid w:val="3077672B"/>
    <w:rsid w:val="3078DD9C"/>
    <w:rsid w:val="30942A1B"/>
    <w:rsid w:val="3095C428"/>
    <w:rsid w:val="3097C775"/>
    <w:rsid w:val="309D8650"/>
    <w:rsid w:val="30AFC865"/>
    <w:rsid w:val="30B370CE"/>
    <w:rsid w:val="30BB2142"/>
    <w:rsid w:val="30C6E63D"/>
    <w:rsid w:val="30CA1DAC"/>
    <w:rsid w:val="30D97A93"/>
    <w:rsid w:val="30DE99FF"/>
    <w:rsid w:val="30E6B51A"/>
    <w:rsid w:val="30F5A483"/>
    <w:rsid w:val="3104465E"/>
    <w:rsid w:val="310D899D"/>
    <w:rsid w:val="3110EA71"/>
    <w:rsid w:val="3115811E"/>
    <w:rsid w:val="31183195"/>
    <w:rsid w:val="312F177F"/>
    <w:rsid w:val="3137BC3F"/>
    <w:rsid w:val="31390D74"/>
    <w:rsid w:val="313CA21B"/>
    <w:rsid w:val="3143E814"/>
    <w:rsid w:val="31468F59"/>
    <w:rsid w:val="314E090C"/>
    <w:rsid w:val="3152EE0F"/>
    <w:rsid w:val="315A070B"/>
    <w:rsid w:val="315B609D"/>
    <w:rsid w:val="315BDD77"/>
    <w:rsid w:val="316C3C58"/>
    <w:rsid w:val="3179B6B5"/>
    <w:rsid w:val="317F42EA"/>
    <w:rsid w:val="318EB759"/>
    <w:rsid w:val="3195199B"/>
    <w:rsid w:val="31A72239"/>
    <w:rsid w:val="31B0CD35"/>
    <w:rsid w:val="31B3F4FE"/>
    <w:rsid w:val="31B4699E"/>
    <w:rsid w:val="31B54175"/>
    <w:rsid w:val="31B89B5B"/>
    <w:rsid w:val="31C64656"/>
    <w:rsid w:val="31C7A6B4"/>
    <w:rsid w:val="31CB0CA9"/>
    <w:rsid w:val="31CFF11D"/>
    <w:rsid w:val="31DA4855"/>
    <w:rsid w:val="31E68201"/>
    <w:rsid w:val="31E9FBAA"/>
    <w:rsid w:val="31EBE250"/>
    <w:rsid w:val="31ECECD3"/>
    <w:rsid w:val="31ED0930"/>
    <w:rsid w:val="31F521FB"/>
    <w:rsid w:val="31FEDC35"/>
    <w:rsid w:val="32034279"/>
    <w:rsid w:val="3205FC48"/>
    <w:rsid w:val="3209AF7B"/>
    <w:rsid w:val="320FC7FD"/>
    <w:rsid w:val="3213988C"/>
    <w:rsid w:val="322C66D7"/>
    <w:rsid w:val="322E0B2B"/>
    <w:rsid w:val="32314C4A"/>
    <w:rsid w:val="323E3293"/>
    <w:rsid w:val="32564459"/>
    <w:rsid w:val="325742EC"/>
    <w:rsid w:val="325C3EC6"/>
    <w:rsid w:val="325CDF5E"/>
    <w:rsid w:val="3261A3D7"/>
    <w:rsid w:val="32626551"/>
    <w:rsid w:val="326B02B2"/>
    <w:rsid w:val="32741917"/>
    <w:rsid w:val="328266C2"/>
    <w:rsid w:val="3286EFBF"/>
    <w:rsid w:val="3288796F"/>
    <w:rsid w:val="328A5655"/>
    <w:rsid w:val="328ED0DB"/>
    <w:rsid w:val="3291E128"/>
    <w:rsid w:val="32999F46"/>
    <w:rsid w:val="329CE3E3"/>
    <w:rsid w:val="32A04A11"/>
    <w:rsid w:val="32B21F4E"/>
    <w:rsid w:val="32B59FD1"/>
    <w:rsid w:val="32B9527E"/>
    <w:rsid w:val="32C506AB"/>
    <w:rsid w:val="32C63DA5"/>
    <w:rsid w:val="32CD25A3"/>
    <w:rsid w:val="32CF2B54"/>
    <w:rsid w:val="32D79350"/>
    <w:rsid w:val="32DB95D7"/>
    <w:rsid w:val="32DF6A62"/>
    <w:rsid w:val="32E50D39"/>
    <w:rsid w:val="32E9EBBE"/>
    <w:rsid w:val="32EAAF1A"/>
    <w:rsid w:val="32F0D0CB"/>
    <w:rsid w:val="3310D635"/>
    <w:rsid w:val="3321A6DA"/>
    <w:rsid w:val="3323A9CC"/>
    <w:rsid w:val="332BCAA3"/>
    <w:rsid w:val="3330375B"/>
    <w:rsid w:val="33307644"/>
    <w:rsid w:val="333D550B"/>
    <w:rsid w:val="33457BD5"/>
    <w:rsid w:val="3346283A"/>
    <w:rsid w:val="3356F0B3"/>
    <w:rsid w:val="335C9ECF"/>
    <w:rsid w:val="335ED560"/>
    <w:rsid w:val="3368715E"/>
    <w:rsid w:val="3377A771"/>
    <w:rsid w:val="3377CA87"/>
    <w:rsid w:val="3377CEBE"/>
    <w:rsid w:val="3378018F"/>
    <w:rsid w:val="337D2F59"/>
    <w:rsid w:val="33808592"/>
    <w:rsid w:val="3383030D"/>
    <w:rsid w:val="33832D8E"/>
    <w:rsid w:val="3388BD34"/>
    <w:rsid w:val="33971AC2"/>
    <w:rsid w:val="339FA40E"/>
    <w:rsid w:val="33A3C2AA"/>
    <w:rsid w:val="33AB066A"/>
    <w:rsid w:val="33AE0B02"/>
    <w:rsid w:val="33B088BE"/>
    <w:rsid w:val="33BF8E9A"/>
    <w:rsid w:val="33C00B99"/>
    <w:rsid w:val="33E0377A"/>
    <w:rsid w:val="33E27112"/>
    <w:rsid w:val="33ED6F70"/>
    <w:rsid w:val="33F1F889"/>
    <w:rsid w:val="33F537C6"/>
    <w:rsid w:val="33F9338E"/>
    <w:rsid w:val="33FE585E"/>
    <w:rsid w:val="34011531"/>
    <w:rsid w:val="34025A06"/>
    <w:rsid w:val="340604F8"/>
    <w:rsid w:val="340F42AF"/>
    <w:rsid w:val="34186DC4"/>
    <w:rsid w:val="342114FE"/>
    <w:rsid w:val="3425BCFB"/>
    <w:rsid w:val="342CAC92"/>
    <w:rsid w:val="342CE5F4"/>
    <w:rsid w:val="34357ECC"/>
    <w:rsid w:val="3445BC5C"/>
    <w:rsid w:val="34517032"/>
    <w:rsid w:val="345982FA"/>
    <w:rsid w:val="345AB0CC"/>
    <w:rsid w:val="345AF548"/>
    <w:rsid w:val="345DE481"/>
    <w:rsid w:val="346005EE"/>
    <w:rsid w:val="34600DBE"/>
    <w:rsid w:val="346825C6"/>
    <w:rsid w:val="346D98D3"/>
    <w:rsid w:val="3470C963"/>
    <w:rsid w:val="3479C3EA"/>
    <w:rsid w:val="347D1EF4"/>
    <w:rsid w:val="347F8F0F"/>
    <w:rsid w:val="34814246"/>
    <w:rsid w:val="34956221"/>
    <w:rsid w:val="34984BD0"/>
    <w:rsid w:val="349D45A3"/>
    <w:rsid w:val="349F1060"/>
    <w:rsid w:val="34AB0B72"/>
    <w:rsid w:val="34B2045E"/>
    <w:rsid w:val="34C440C8"/>
    <w:rsid w:val="34D0C061"/>
    <w:rsid w:val="34D19CE6"/>
    <w:rsid w:val="34E982C4"/>
    <w:rsid w:val="34EDE44B"/>
    <w:rsid w:val="34F397DE"/>
    <w:rsid w:val="34FC00EB"/>
    <w:rsid w:val="34FCAF7F"/>
    <w:rsid w:val="35059818"/>
    <w:rsid w:val="3523F61D"/>
    <w:rsid w:val="3524A820"/>
    <w:rsid w:val="352B0540"/>
    <w:rsid w:val="353FDE69"/>
    <w:rsid w:val="3559C6D0"/>
    <w:rsid w:val="35665F8E"/>
    <w:rsid w:val="3572CF8D"/>
    <w:rsid w:val="357BBB7A"/>
    <w:rsid w:val="357E158E"/>
    <w:rsid w:val="35849F85"/>
    <w:rsid w:val="358538CB"/>
    <w:rsid w:val="3587F620"/>
    <w:rsid w:val="358C805F"/>
    <w:rsid w:val="35933057"/>
    <w:rsid w:val="359A0E54"/>
    <w:rsid w:val="359BD0ED"/>
    <w:rsid w:val="35B040E0"/>
    <w:rsid w:val="35B4B839"/>
    <w:rsid w:val="35B61DE2"/>
    <w:rsid w:val="35BE343D"/>
    <w:rsid w:val="35C18C8B"/>
    <w:rsid w:val="35D29DF4"/>
    <w:rsid w:val="35D53147"/>
    <w:rsid w:val="35D8C37A"/>
    <w:rsid w:val="35DC00A4"/>
    <w:rsid w:val="35DC595C"/>
    <w:rsid w:val="35DCB467"/>
    <w:rsid w:val="35DCC1B4"/>
    <w:rsid w:val="35E4E7BE"/>
    <w:rsid w:val="35E53313"/>
    <w:rsid w:val="35E656BD"/>
    <w:rsid w:val="35EBC99D"/>
    <w:rsid w:val="35FA75CF"/>
    <w:rsid w:val="35FB1012"/>
    <w:rsid w:val="35FFE410"/>
    <w:rsid w:val="361DBA69"/>
    <w:rsid w:val="3629BD62"/>
    <w:rsid w:val="362E4624"/>
    <w:rsid w:val="363F761A"/>
    <w:rsid w:val="3640B09B"/>
    <w:rsid w:val="36550FD5"/>
    <w:rsid w:val="3669E119"/>
    <w:rsid w:val="3676489E"/>
    <w:rsid w:val="3678B473"/>
    <w:rsid w:val="3687D861"/>
    <w:rsid w:val="3689082E"/>
    <w:rsid w:val="36933A9C"/>
    <w:rsid w:val="36B2FFA1"/>
    <w:rsid w:val="36BB32F7"/>
    <w:rsid w:val="36BF88D2"/>
    <w:rsid w:val="36BF9549"/>
    <w:rsid w:val="36C1BEAE"/>
    <w:rsid w:val="36CB0708"/>
    <w:rsid w:val="36D39C0B"/>
    <w:rsid w:val="36DE026B"/>
    <w:rsid w:val="36E18C8F"/>
    <w:rsid w:val="36E94F8C"/>
    <w:rsid w:val="36F857E6"/>
    <w:rsid w:val="37082951"/>
    <w:rsid w:val="3708D66A"/>
    <w:rsid w:val="370C17C8"/>
    <w:rsid w:val="371058C1"/>
    <w:rsid w:val="3716B456"/>
    <w:rsid w:val="371885B2"/>
    <w:rsid w:val="3718ECA1"/>
    <w:rsid w:val="37269BCA"/>
    <w:rsid w:val="372D08A5"/>
    <w:rsid w:val="373A635F"/>
    <w:rsid w:val="374161EB"/>
    <w:rsid w:val="374E21DB"/>
    <w:rsid w:val="374EB0E4"/>
    <w:rsid w:val="375C63AD"/>
    <w:rsid w:val="376711C9"/>
    <w:rsid w:val="376775F3"/>
    <w:rsid w:val="37710E36"/>
    <w:rsid w:val="37715C34"/>
    <w:rsid w:val="377A653D"/>
    <w:rsid w:val="3793E542"/>
    <w:rsid w:val="3794F66D"/>
    <w:rsid w:val="37A35695"/>
    <w:rsid w:val="37A8DB95"/>
    <w:rsid w:val="37B238E3"/>
    <w:rsid w:val="37B7F55E"/>
    <w:rsid w:val="37BE9AE2"/>
    <w:rsid w:val="37C09F66"/>
    <w:rsid w:val="37C46B02"/>
    <w:rsid w:val="37C92216"/>
    <w:rsid w:val="37CA6E79"/>
    <w:rsid w:val="37D53CCA"/>
    <w:rsid w:val="37E973D5"/>
    <w:rsid w:val="37F688D2"/>
    <w:rsid w:val="37FEBA91"/>
    <w:rsid w:val="38017130"/>
    <w:rsid w:val="380550C0"/>
    <w:rsid w:val="3806006B"/>
    <w:rsid w:val="380901C1"/>
    <w:rsid w:val="380EF162"/>
    <w:rsid w:val="3818A054"/>
    <w:rsid w:val="381B7FD8"/>
    <w:rsid w:val="3821CC29"/>
    <w:rsid w:val="382265AC"/>
    <w:rsid w:val="3828880E"/>
    <w:rsid w:val="382EDF8C"/>
    <w:rsid w:val="3830B48F"/>
    <w:rsid w:val="3836D936"/>
    <w:rsid w:val="38393A94"/>
    <w:rsid w:val="383A3BB5"/>
    <w:rsid w:val="383CFFB6"/>
    <w:rsid w:val="38464D92"/>
    <w:rsid w:val="384DBFD1"/>
    <w:rsid w:val="38505105"/>
    <w:rsid w:val="38525886"/>
    <w:rsid w:val="38538446"/>
    <w:rsid w:val="38566B32"/>
    <w:rsid w:val="385FC252"/>
    <w:rsid w:val="385FD6FC"/>
    <w:rsid w:val="3865EDAF"/>
    <w:rsid w:val="386AF539"/>
    <w:rsid w:val="386B69DB"/>
    <w:rsid w:val="386CDA06"/>
    <w:rsid w:val="3870B57F"/>
    <w:rsid w:val="3880FA29"/>
    <w:rsid w:val="3881C8EB"/>
    <w:rsid w:val="38846E68"/>
    <w:rsid w:val="3884FAFB"/>
    <w:rsid w:val="389962FB"/>
    <w:rsid w:val="3899D75E"/>
    <w:rsid w:val="38A22133"/>
    <w:rsid w:val="38A56DB6"/>
    <w:rsid w:val="38AD7ACB"/>
    <w:rsid w:val="38B48B92"/>
    <w:rsid w:val="38B50CBD"/>
    <w:rsid w:val="38B70D8D"/>
    <w:rsid w:val="38C02F9C"/>
    <w:rsid w:val="38C1D019"/>
    <w:rsid w:val="38C5F038"/>
    <w:rsid w:val="38C8E7EC"/>
    <w:rsid w:val="38E48817"/>
    <w:rsid w:val="38E9E0AB"/>
    <w:rsid w:val="38EFE50A"/>
    <w:rsid w:val="38F39F91"/>
    <w:rsid w:val="38F4196A"/>
    <w:rsid w:val="38F67B6A"/>
    <w:rsid w:val="38FD030F"/>
    <w:rsid w:val="38FD2546"/>
    <w:rsid w:val="39025E12"/>
    <w:rsid w:val="39084F3B"/>
    <w:rsid w:val="3908BC8F"/>
    <w:rsid w:val="390C1456"/>
    <w:rsid w:val="390D7410"/>
    <w:rsid w:val="391C530E"/>
    <w:rsid w:val="3926A50A"/>
    <w:rsid w:val="3926C7BC"/>
    <w:rsid w:val="393306DA"/>
    <w:rsid w:val="39356184"/>
    <w:rsid w:val="3938E1A8"/>
    <w:rsid w:val="39401E64"/>
    <w:rsid w:val="3940FB12"/>
    <w:rsid w:val="394671D8"/>
    <w:rsid w:val="39478CC9"/>
    <w:rsid w:val="3947A17B"/>
    <w:rsid w:val="394AE3CB"/>
    <w:rsid w:val="39565169"/>
    <w:rsid w:val="39567C21"/>
    <w:rsid w:val="39571BB2"/>
    <w:rsid w:val="395844DA"/>
    <w:rsid w:val="39586318"/>
    <w:rsid w:val="395A9426"/>
    <w:rsid w:val="395CCC99"/>
    <w:rsid w:val="39741FB2"/>
    <w:rsid w:val="397A5FBD"/>
    <w:rsid w:val="397CDC78"/>
    <w:rsid w:val="39829ED6"/>
    <w:rsid w:val="3987859D"/>
    <w:rsid w:val="3988F31B"/>
    <w:rsid w:val="398DCF3F"/>
    <w:rsid w:val="3993D817"/>
    <w:rsid w:val="399D8006"/>
    <w:rsid w:val="39A35EDC"/>
    <w:rsid w:val="39B92354"/>
    <w:rsid w:val="39BBDEFA"/>
    <w:rsid w:val="39C0E10F"/>
    <w:rsid w:val="39CD108E"/>
    <w:rsid w:val="39D270D4"/>
    <w:rsid w:val="39DCBB3F"/>
    <w:rsid w:val="39EBC3EE"/>
    <w:rsid w:val="39EBD128"/>
    <w:rsid w:val="39FD6C81"/>
    <w:rsid w:val="3A05D96E"/>
    <w:rsid w:val="3A0DB6A2"/>
    <w:rsid w:val="3A170304"/>
    <w:rsid w:val="3A1A9989"/>
    <w:rsid w:val="3A2D3C13"/>
    <w:rsid w:val="3A326025"/>
    <w:rsid w:val="3A36710D"/>
    <w:rsid w:val="3A36A3DE"/>
    <w:rsid w:val="3A45CA57"/>
    <w:rsid w:val="3A45CCF8"/>
    <w:rsid w:val="3A48C46F"/>
    <w:rsid w:val="3A4A8C63"/>
    <w:rsid w:val="3A4CA412"/>
    <w:rsid w:val="3A4D31F6"/>
    <w:rsid w:val="3A502674"/>
    <w:rsid w:val="3A567057"/>
    <w:rsid w:val="3A58A551"/>
    <w:rsid w:val="3A59E7F9"/>
    <w:rsid w:val="3A5A3575"/>
    <w:rsid w:val="3A5AD10D"/>
    <w:rsid w:val="3A5C3180"/>
    <w:rsid w:val="3A5E7310"/>
    <w:rsid w:val="3A617651"/>
    <w:rsid w:val="3A69A37B"/>
    <w:rsid w:val="3A70910F"/>
    <w:rsid w:val="3A753C28"/>
    <w:rsid w:val="3A78C588"/>
    <w:rsid w:val="3A7AC8EC"/>
    <w:rsid w:val="3A83BA53"/>
    <w:rsid w:val="3A95370C"/>
    <w:rsid w:val="3A98F10F"/>
    <w:rsid w:val="3A9F0427"/>
    <w:rsid w:val="3AA5EADF"/>
    <w:rsid w:val="3AA793BA"/>
    <w:rsid w:val="3AA8F4D0"/>
    <w:rsid w:val="3AB327F0"/>
    <w:rsid w:val="3AB3A753"/>
    <w:rsid w:val="3AC15013"/>
    <w:rsid w:val="3AD4DFA3"/>
    <w:rsid w:val="3AE3423A"/>
    <w:rsid w:val="3AE72856"/>
    <w:rsid w:val="3AEDFD74"/>
    <w:rsid w:val="3AEF3210"/>
    <w:rsid w:val="3AF01F1E"/>
    <w:rsid w:val="3AF4E451"/>
    <w:rsid w:val="3AF7219B"/>
    <w:rsid w:val="3AF96249"/>
    <w:rsid w:val="3AF99ED3"/>
    <w:rsid w:val="3B0A60C6"/>
    <w:rsid w:val="3B0CDDBE"/>
    <w:rsid w:val="3B0FF1E5"/>
    <w:rsid w:val="3B169C6E"/>
    <w:rsid w:val="3B1AB301"/>
    <w:rsid w:val="3B1AD1F6"/>
    <w:rsid w:val="3B1C9534"/>
    <w:rsid w:val="3B37DD3A"/>
    <w:rsid w:val="3B4DF696"/>
    <w:rsid w:val="3B4EDF55"/>
    <w:rsid w:val="3B4F1DEC"/>
    <w:rsid w:val="3B59A1C7"/>
    <w:rsid w:val="3B5CBD3F"/>
    <w:rsid w:val="3B5E2B6D"/>
    <w:rsid w:val="3B60C2A3"/>
    <w:rsid w:val="3B654491"/>
    <w:rsid w:val="3B67B246"/>
    <w:rsid w:val="3B6E7757"/>
    <w:rsid w:val="3B76F233"/>
    <w:rsid w:val="3B79D6B0"/>
    <w:rsid w:val="3B7AF418"/>
    <w:rsid w:val="3B7D583D"/>
    <w:rsid w:val="3B8A5FEE"/>
    <w:rsid w:val="3B9208B1"/>
    <w:rsid w:val="3B92ED85"/>
    <w:rsid w:val="3B9D83C0"/>
    <w:rsid w:val="3B9DA367"/>
    <w:rsid w:val="3BA167A7"/>
    <w:rsid w:val="3BA3856F"/>
    <w:rsid w:val="3BACC0D9"/>
    <w:rsid w:val="3BAF9ED0"/>
    <w:rsid w:val="3BB6628E"/>
    <w:rsid w:val="3BB69223"/>
    <w:rsid w:val="3BB97B62"/>
    <w:rsid w:val="3BBE74FE"/>
    <w:rsid w:val="3BBFBC80"/>
    <w:rsid w:val="3BD04930"/>
    <w:rsid w:val="3BD44390"/>
    <w:rsid w:val="3BD77890"/>
    <w:rsid w:val="3BD7B068"/>
    <w:rsid w:val="3BDFC0ED"/>
    <w:rsid w:val="3BE74771"/>
    <w:rsid w:val="3BE97C22"/>
    <w:rsid w:val="3BED4F02"/>
    <w:rsid w:val="3BF7F451"/>
    <w:rsid w:val="3C0223FB"/>
    <w:rsid w:val="3C02DE25"/>
    <w:rsid w:val="3C059CE2"/>
    <w:rsid w:val="3C0E96BB"/>
    <w:rsid w:val="3C1B22E4"/>
    <w:rsid w:val="3C1C8AC4"/>
    <w:rsid w:val="3C23943F"/>
    <w:rsid w:val="3C2435E3"/>
    <w:rsid w:val="3C2BEC18"/>
    <w:rsid w:val="3C330D6D"/>
    <w:rsid w:val="3C38CA17"/>
    <w:rsid w:val="3C3BC193"/>
    <w:rsid w:val="3C3EAEF9"/>
    <w:rsid w:val="3C454EFB"/>
    <w:rsid w:val="3C577F24"/>
    <w:rsid w:val="3C5FCE81"/>
    <w:rsid w:val="3C60483B"/>
    <w:rsid w:val="3C695F53"/>
    <w:rsid w:val="3C786141"/>
    <w:rsid w:val="3C78A8AF"/>
    <w:rsid w:val="3C7C6A97"/>
    <w:rsid w:val="3C89D6AB"/>
    <w:rsid w:val="3C8A7D90"/>
    <w:rsid w:val="3C8F9880"/>
    <w:rsid w:val="3C93D0CA"/>
    <w:rsid w:val="3C975DBA"/>
    <w:rsid w:val="3C978D4C"/>
    <w:rsid w:val="3C9CDA61"/>
    <w:rsid w:val="3C9FDB2B"/>
    <w:rsid w:val="3CA1F98B"/>
    <w:rsid w:val="3CA47202"/>
    <w:rsid w:val="3CB687B6"/>
    <w:rsid w:val="3CCFB77E"/>
    <w:rsid w:val="3CDC0658"/>
    <w:rsid w:val="3CE288E4"/>
    <w:rsid w:val="3CEE1C1A"/>
    <w:rsid w:val="3CF4D33F"/>
    <w:rsid w:val="3CF6F317"/>
    <w:rsid w:val="3D00A3B2"/>
    <w:rsid w:val="3D050BDD"/>
    <w:rsid w:val="3D0E47E4"/>
    <w:rsid w:val="3D1668B1"/>
    <w:rsid w:val="3D1B7F3E"/>
    <w:rsid w:val="3D2AA074"/>
    <w:rsid w:val="3D331309"/>
    <w:rsid w:val="3D40F4DC"/>
    <w:rsid w:val="3D46FB11"/>
    <w:rsid w:val="3D48913A"/>
    <w:rsid w:val="3D4D6C28"/>
    <w:rsid w:val="3D4E4DA9"/>
    <w:rsid w:val="3D505DE7"/>
    <w:rsid w:val="3D54AEE1"/>
    <w:rsid w:val="3D56FE16"/>
    <w:rsid w:val="3D5771FD"/>
    <w:rsid w:val="3D6F9A6F"/>
    <w:rsid w:val="3D854D92"/>
    <w:rsid w:val="3D8A0896"/>
    <w:rsid w:val="3D8C5FE2"/>
    <w:rsid w:val="3D90387B"/>
    <w:rsid w:val="3D9247F0"/>
    <w:rsid w:val="3D957C5A"/>
    <w:rsid w:val="3D9969DE"/>
    <w:rsid w:val="3D9DC405"/>
    <w:rsid w:val="3DAB728C"/>
    <w:rsid w:val="3DC0E590"/>
    <w:rsid w:val="3DC3561A"/>
    <w:rsid w:val="3DC9DC3D"/>
    <w:rsid w:val="3DCD7E1E"/>
    <w:rsid w:val="3DD27090"/>
    <w:rsid w:val="3DDBF426"/>
    <w:rsid w:val="3DE54576"/>
    <w:rsid w:val="3DE6AB57"/>
    <w:rsid w:val="3DEBB4DE"/>
    <w:rsid w:val="3DF1EBEF"/>
    <w:rsid w:val="3DF7B5A7"/>
    <w:rsid w:val="3DFCCA36"/>
    <w:rsid w:val="3DFE0BBD"/>
    <w:rsid w:val="3E04F998"/>
    <w:rsid w:val="3E0D4114"/>
    <w:rsid w:val="3E11592D"/>
    <w:rsid w:val="3E1DCED3"/>
    <w:rsid w:val="3E247AE9"/>
    <w:rsid w:val="3E24DDBE"/>
    <w:rsid w:val="3E34BB20"/>
    <w:rsid w:val="3E35AD2D"/>
    <w:rsid w:val="3E3E75F1"/>
    <w:rsid w:val="3E3FA14A"/>
    <w:rsid w:val="3E5589CE"/>
    <w:rsid w:val="3E58BDC1"/>
    <w:rsid w:val="3E595384"/>
    <w:rsid w:val="3E5C57DA"/>
    <w:rsid w:val="3E65E1C6"/>
    <w:rsid w:val="3E6F5866"/>
    <w:rsid w:val="3E733589"/>
    <w:rsid w:val="3E77A2C4"/>
    <w:rsid w:val="3E8CABD8"/>
    <w:rsid w:val="3E8EB98C"/>
    <w:rsid w:val="3E91A51D"/>
    <w:rsid w:val="3E92E352"/>
    <w:rsid w:val="3E9ADAF1"/>
    <w:rsid w:val="3E9FF613"/>
    <w:rsid w:val="3EA2FFCB"/>
    <w:rsid w:val="3EA889F3"/>
    <w:rsid w:val="3EA8A47E"/>
    <w:rsid w:val="3EB2BD36"/>
    <w:rsid w:val="3EB895B4"/>
    <w:rsid w:val="3EC05CD2"/>
    <w:rsid w:val="3EE0772F"/>
    <w:rsid w:val="3EE5DA5F"/>
    <w:rsid w:val="3EED8F54"/>
    <w:rsid w:val="3EF30824"/>
    <w:rsid w:val="3F005AFA"/>
    <w:rsid w:val="3F04E6B1"/>
    <w:rsid w:val="3F1DCAB5"/>
    <w:rsid w:val="3F25BA0D"/>
    <w:rsid w:val="3F25C21D"/>
    <w:rsid w:val="3F2A5C4F"/>
    <w:rsid w:val="3F302F02"/>
    <w:rsid w:val="3F3A0E27"/>
    <w:rsid w:val="3F6D4880"/>
    <w:rsid w:val="3F75735E"/>
    <w:rsid w:val="3F79090C"/>
    <w:rsid w:val="3F8B2FD9"/>
    <w:rsid w:val="3F901688"/>
    <w:rsid w:val="3F918B80"/>
    <w:rsid w:val="3F922BBB"/>
    <w:rsid w:val="3F932334"/>
    <w:rsid w:val="3F9AC29A"/>
    <w:rsid w:val="3FA30272"/>
    <w:rsid w:val="3FA42406"/>
    <w:rsid w:val="3FA7EB64"/>
    <w:rsid w:val="3FAE13F5"/>
    <w:rsid w:val="3FB93D86"/>
    <w:rsid w:val="3FCD090E"/>
    <w:rsid w:val="3FD0845A"/>
    <w:rsid w:val="3FD1C2CF"/>
    <w:rsid w:val="3FD32CA9"/>
    <w:rsid w:val="3FE84592"/>
    <w:rsid w:val="3FEAEF0C"/>
    <w:rsid w:val="3FFBE4B4"/>
    <w:rsid w:val="4007A39C"/>
    <w:rsid w:val="400B1B5F"/>
    <w:rsid w:val="400D5EC8"/>
    <w:rsid w:val="401EF85E"/>
    <w:rsid w:val="401F8150"/>
    <w:rsid w:val="4025B54B"/>
    <w:rsid w:val="402EDDEF"/>
    <w:rsid w:val="4032791E"/>
    <w:rsid w:val="403FBAF8"/>
    <w:rsid w:val="4051D887"/>
    <w:rsid w:val="405B218C"/>
    <w:rsid w:val="405B808F"/>
    <w:rsid w:val="405DDB7C"/>
    <w:rsid w:val="405E7714"/>
    <w:rsid w:val="405E91D6"/>
    <w:rsid w:val="4062A214"/>
    <w:rsid w:val="406750DC"/>
    <w:rsid w:val="407047BD"/>
    <w:rsid w:val="4070724E"/>
    <w:rsid w:val="40752392"/>
    <w:rsid w:val="40831919"/>
    <w:rsid w:val="4085B096"/>
    <w:rsid w:val="40883CDE"/>
    <w:rsid w:val="409BF4C3"/>
    <w:rsid w:val="40A0D7A2"/>
    <w:rsid w:val="40A192D8"/>
    <w:rsid w:val="40A2C9CF"/>
    <w:rsid w:val="40A742D7"/>
    <w:rsid w:val="40AC4003"/>
    <w:rsid w:val="40AF4EF1"/>
    <w:rsid w:val="40B00896"/>
    <w:rsid w:val="40B31C04"/>
    <w:rsid w:val="40B7806F"/>
    <w:rsid w:val="40B97ADE"/>
    <w:rsid w:val="40C4B617"/>
    <w:rsid w:val="40CB51AD"/>
    <w:rsid w:val="40D03C0A"/>
    <w:rsid w:val="40D6497E"/>
    <w:rsid w:val="40DBD4F2"/>
    <w:rsid w:val="40DFEBCA"/>
    <w:rsid w:val="40EF2778"/>
    <w:rsid w:val="40F9B5F7"/>
    <w:rsid w:val="40FA5F64"/>
    <w:rsid w:val="40FFA22B"/>
    <w:rsid w:val="4102FE3D"/>
    <w:rsid w:val="41061BBB"/>
    <w:rsid w:val="41092EB2"/>
    <w:rsid w:val="410975E9"/>
    <w:rsid w:val="410C2E1C"/>
    <w:rsid w:val="41107A0F"/>
    <w:rsid w:val="41118109"/>
    <w:rsid w:val="41207728"/>
    <w:rsid w:val="4128EB9F"/>
    <w:rsid w:val="4136957E"/>
    <w:rsid w:val="41395AA9"/>
    <w:rsid w:val="41440CC5"/>
    <w:rsid w:val="414785AB"/>
    <w:rsid w:val="414D6644"/>
    <w:rsid w:val="416BC46A"/>
    <w:rsid w:val="4186F790"/>
    <w:rsid w:val="4199B851"/>
    <w:rsid w:val="41A0A42C"/>
    <w:rsid w:val="41A2718E"/>
    <w:rsid w:val="41ADF753"/>
    <w:rsid w:val="41B0092A"/>
    <w:rsid w:val="41B286A0"/>
    <w:rsid w:val="41BA0559"/>
    <w:rsid w:val="41BE85CD"/>
    <w:rsid w:val="41BECF02"/>
    <w:rsid w:val="41C02FC8"/>
    <w:rsid w:val="41C2CF4B"/>
    <w:rsid w:val="41C3910E"/>
    <w:rsid w:val="41CD09AF"/>
    <w:rsid w:val="41CD9A79"/>
    <w:rsid w:val="41D0B27A"/>
    <w:rsid w:val="41E4B4DA"/>
    <w:rsid w:val="41E6254C"/>
    <w:rsid w:val="41EF197C"/>
    <w:rsid w:val="41F428C3"/>
    <w:rsid w:val="41F5BD69"/>
    <w:rsid w:val="41FF5A4E"/>
    <w:rsid w:val="420887FD"/>
    <w:rsid w:val="420BB93A"/>
    <w:rsid w:val="420F2D3E"/>
    <w:rsid w:val="4213F75B"/>
    <w:rsid w:val="4222218B"/>
    <w:rsid w:val="4223BDF2"/>
    <w:rsid w:val="4229ABC9"/>
    <w:rsid w:val="42311264"/>
    <w:rsid w:val="4233E13E"/>
    <w:rsid w:val="4235BE42"/>
    <w:rsid w:val="4242F694"/>
    <w:rsid w:val="4243EE4F"/>
    <w:rsid w:val="4252F53D"/>
    <w:rsid w:val="4261F3F2"/>
    <w:rsid w:val="4266D91F"/>
    <w:rsid w:val="42796D18"/>
    <w:rsid w:val="42864020"/>
    <w:rsid w:val="428C818E"/>
    <w:rsid w:val="428E9DE0"/>
    <w:rsid w:val="4290720A"/>
    <w:rsid w:val="429CB67F"/>
    <w:rsid w:val="42AA9600"/>
    <w:rsid w:val="42AD0099"/>
    <w:rsid w:val="42B2316B"/>
    <w:rsid w:val="42B312BC"/>
    <w:rsid w:val="42BC6B9D"/>
    <w:rsid w:val="42C0AF00"/>
    <w:rsid w:val="42C20FE2"/>
    <w:rsid w:val="42C3427A"/>
    <w:rsid w:val="42D08B2A"/>
    <w:rsid w:val="42D58771"/>
    <w:rsid w:val="42FA6121"/>
    <w:rsid w:val="42FA7C35"/>
    <w:rsid w:val="42FB6A44"/>
    <w:rsid w:val="431D360F"/>
    <w:rsid w:val="431E7390"/>
    <w:rsid w:val="434118F0"/>
    <w:rsid w:val="4349E553"/>
    <w:rsid w:val="434A5F2C"/>
    <w:rsid w:val="434A871F"/>
    <w:rsid w:val="43525985"/>
    <w:rsid w:val="435A9144"/>
    <w:rsid w:val="435F2178"/>
    <w:rsid w:val="4362AF0F"/>
    <w:rsid w:val="43638D25"/>
    <w:rsid w:val="436FB5C6"/>
    <w:rsid w:val="4370F003"/>
    <w:rsid w:val="437B4E6E"/>
    <w:rsid w:val="43814F12"/>
    <w:rsid w:val="43853BB4"/>
    <w:rsid w:val="43919BA8"/>
    <w:rsid w:val="4392374D"/>
    <w:rsid w:val="43A471C0"/>
    <w:rsid w:val="43A8C2F6"/>
    <w:rsid w:val="43C5D8B6"/>
    <w:rsid w:val="43C5DDE4"/>
    <w:rsid w:val="43CE3AE5"/>
    <w:rsid w:val="43CF06BB"/>
    <w:rsid w:val="43D5B669"/>
    <w:rsid w:val="43D6B7CD"/>
    <w:rsid w:val="43D98EB8"/>
    <w:rsid w:val="43E25EE1"/>
    <w:rsid w:val="43F9361B"/>
    <w:rsid w:val="43F9DA0C"/>
    <w:rsid w:val="4401A1AA"/>
    <w:rsid w:val="44030065"/>
    <w:rsid w:val="44050A6F"/>
    <w:rsid w:val="44090107"/>
    <w:rsid w:val="44096C43"/>
    <w:rsid w:val="441157F2"/>
    <w:rsid w:val="441C6F72"/>
    <w:rsid w:val="441CB2DB"/>
    <w:rsid w:val="442B6D04"/>
    <w:rsid w:val="4439C589"/>
    <w:rsid w:val="443B34D7"/>
    <w:rsid w:val="4459DDB2"/>
    <w:rsid w:val="445A1AC0"/>
    <w:rsid w:val="445A7580"/>
    <w:rsid w:val="4465EE14"/>
    <w:rsid w:val="446B8448"/>
    <w:rsid w:val="446DAD85"/>
    <w:rsid w:val="447425EA"/>
    <w:rsid w:val="447D2BA8"/>
    <w:rsid w:val="44824F6E"/>
    <w:rsid w:val="44827649"/>
    <w:rsid w:val="4483ABB5"/>
    <w:rsid w:val="4485EDCB"/>
    <w:rsid w:val="448CB6CF"/>
    <w:rsid w:val="448D8009"/>
    <w:rsid w:val="44B949B6"/>
    <w:rsid w:val="44C281D6"/>
    <w:rsid w:val="44CE7101"/>
    <w:rsid w:val="44D76421"/>
    <w:rsid w:val="44E89109"/>
    <w:rsid w:val="44F9EA00"/>
    <w:rsid w:val="44FC8031"/>
    <w:rsid w:val="44FE33C2"/>
    <w:rsid w:val="44FE69F1"/>
    <w:rsid w:val="4512C696"/>
    <w:rsid w:val="451BAF99"/>
    <w:rsid w:val="452D896A"/>
    <w:rsid w:val="453EE0EF"/>
    <w:rsid w:val="453F4B88"/>
    <w:rsid w:val="454070D9"/>
    <w:rsid w:val="4543D4FC"/>
    <w:rsid w:val="45472396"/>
    <w:rsid w:val="454F111C"/>
    <w:rsid w:val="455086E8"/>
    <w:rsid w:val="45543D68"/>
    <w:rsid w:val="45586120"/>
    <w:rsid w:val="455E7CF2"/>
    <w:rsid w:val="455F1298"/>
    <w:rsid w:val="4560F2E8"/>
    <w:rsid w:val="457290C1"/>
    <w:rsid w:val="457647AE"/>
    <w:rsid w:val="457DBC64"/>
    <w:rsid w:val="457E560E"/>
    <w:rsid w:val="45813BE5"/>
    <w:rsid w:val="4583D9A6"/>
    <w:rsid w:val="4584E251"/>
    <w:rsid w:val="4589CC71"/>
    <w:rsid w:val="45902102"/>
    <w:rsid w:val="45956458"/>
    <w:rsid w:val="4595AF73"/>
    <w:rsid w:val="45970F66"/>
    <w:rsid w:val="459CF52E"/>
    <w:rsid w:val="45A34110"/>
    <w:rsid w:val="45A3ECB4"/>
    <w:rsid w:val="45A527D0"/>
    <w:rsid w:val="45A6BF81"/>
    <w:rsid w:val="45A70DDB"/>
    <w:rsid w:val="45AA41D5"/>
    <w:rsid w:val="45AD31E8"/>
    <w:rsid w:val="45AF42D8"/>
    <w:rsid w:val="45B02C60"/>
    <w:rsid w:val="45B300F5"/>
    <w:rsid w:val="45B48F47"/>
    <w:rsid w:val="45CFACC1"/>
    <w:rsid w:val="45E2E6ED"/>
    <w:rsid w:val="45E6C7A5"/>
    <w:rsid w:val="45F037A4"/>
    <w:rsid w:val="45F931F2"/>
    <w:rsid w:val="460B03BB"/>
    <w:rsid w:val="4613B49A"/>
    <w:rsid w:val="4621DBFA"/>
    <w:rsid w:val="4625E4BC"/>
    <w:rsid w:val="46297FDE"/>
    <w:rsid w:val="46403053"/>
    <w:rsid w:val="46474383"/>
    <w:rsid w:val="464EA5B1"/>
    <w:rsid w:val="464F0074"/>
    <w:rsid w:val="4650ABC8"/>
    <w:rsid w:val="465AD4B3"/>
    <w:rsid w:val="465D5618"/>
    <w:rsid w:val="4661B454"/>
    <w:rsid w:val="4661E725"/>
    <w:rsid w:val="4678B5C2"/>
    <w:rsid w:val="467EAE88"/>
    <w:rsid w:val="4681A628"/>
    <w:rsid w:val="4683537E"/>
    <w:rsid w:val="4683CD34"/>
    <w:rsid w:val="4689532F"/>
    <w:rsid w:val="468AB841"/>
    <w:rsid w:val="4696B9AA"/>
    <w:rsid w:val="46983EB6"/>
    <w:rsid w:val="46A03619"/>
    <w:rsid w:val="46A71A1D"/>
    <w:rsid w:val="46B5C59E"/>
    <w:rsid w:val="46B9414D"/>
    <w:rsid w:val="46C2CB76"/>
    <w:rsid w:val="46D8B51F"/>
    <w:rsid w:val="46DDB0CB"/>
    <w:rsid w:val="46E67214"/>
    <w:rsid w:val="46E8D642"/>
    <w:rsid w:val="46E8D71D"/>
    <w:rsid w:val="46F00AF8"/>
    <w:rsid w:val="46F0A83E"/>
    <w:rsid w:val="46F4B3CD"/>
    <w:rsid w:val="46F809C1"/>
    <w:rsid w:val="46F8E795"/>
    <w:rsid w:val="46FD50B5"/>
    <w:rsid w:val="4709ADCD"/>
    <w:rsid w:val="470B5654"/>
    <w:rsid w:val="47134FF1"/>
    <w:rsid w:val="471AC8F1"/>
    <w:rsid w:val="472AD531"/>
    <w:rsid w:val="4732C25E"/>
    <w:rsid w:val="47354546"/>
    <w:rsid w:val="473853D6"/>
    <w:rsid w:val="474D72A8"/>
    <w:rsid w:val="4758D2C5"/>
    <w:rsid w:val="475B39D6"/>
    <w:rsid w:val="476964B7"/>
    <w:rsid w:val="476FD90A"/>
    <w:rsid w:val="47715F5E"/>
    <w:rsid w:val="47792980"/>
    <w:rsid w:val="4785DADD"/>
    <w:rsid w:val="4790BF19"/>
    <w:rsid w:val="4791EC90"/>
    <w:rsid w:val="4792E480"/>
    <w:rsid w:val="47938BB8"/>
    <w:rsid w:val="47955D8B"/>
    <w:rsid w:val="47AADDED"/>
    <w:rsid w:val="47ACCAB6"/>
    <w:rsid w:val="47B60004"/>
    <w:rsid w:val="47E16183"/>
    <w:rsid w:val="47E1EFDF"/>
    <w:rsid w:val="47E20581"/>
    <w:rsid w:val="47E386A0"/>
    <w:rsid w:val="47E610C3"/>
    <w:rsid w:val="47F38132"/>
    <w:rsid w:val="47F6335B"/>
    <w:rsid w:val="47FDA4F8"/>
    <w:rsid w:val="48080E91"/>
    <w:rsid w:val="48136D61"/>
    <w:rsid w:val="481B54B8"/>
    <w:rsid w:val="481C4048"/>
    <w:rsid w:val="4822CF64"/>
    <w:rsid w:val="48248BA8"/>
    <w:rsid w:val="4824F4BB"/>
    <w:rsid w:val="4831137B"/>
    <w:rsid w:val="48373722"/>
    <w:rsid w:val="4843EE43"/>
    <w:rsid w:val="484423F5"/>
    <w:rsid w:val="48568656"/>
    <w:rsid w:val="48589D8B"/>
    <w:rsid w:val="485C98B0"/>
    <w:rsid w:val="48645447"/>
    <w:rsid w:val="486C9D65"/>
    <w:rsid w:val="4874C991"/>
    <w:rsid w:val="4874F7A3"/>
    <w:rsid w:val="4882335D"/>
    <w:rsid w:val="48833399"/>
    <w:rsid w:val="488A858A"/>
    <w:rsid w:val="488B2FC0"/>
    <w:rsid w:val="48986662"/>
    <w:rsid w:val="489DA3C6"/>
    <w:rsid w:val="48A48609"/>
    <w:rsid w:val="48AE87AC"/>
    <w:rsid w:val="48B5078D"/>
    <w:rsid w:val="48B8B62C"/>
    <w:rsid w:val="48BEC29B"/>
    <w:rsid w:val="48BFD92F"/>
    <w:rsid w:val="48CC8721"/>
    <w:rsid w:val="48CDBB3D"/>
    <w:rsid w:val="48DC9403"/>
    <w:rsid w:val="48E665DE"/>
    <w:rsid w:val="48EC3B43"/>
    <w:rsid w:val="48F02490"/>
    <w:rsid w:val="48FF2328"/>
    <w:rsid w:val="4902FF08"/>
    <w:rsid w:val="49066A54"/>
    <w:rsid w:val="4917EB9A"/>
    <w:rsid w:val="493C95B9"/>
    <w:rsid w:val="494B8AF3"/>
    <w:rsid w:val="494CEB49"/>
    <w:rsid w:val="494DDB11"/>
    <w:rsid w:val="4950683D"/>
    <w:rsid w:val="49643838"/>
    <w:rsid w:val="496A0729"/>
    <w:rsid w:val="496FECA1"/>
    <w:rsid w:val="4980DC50"/>
    <w:rsid w:val="49852BF0"/>
    <w:rsid w:val="4985B441"/>
    <w:rsid w:val="49885740"/>
    <w:rsid w:val="4995C1F5"/>
    <w:rsid w:val="499922EA"/>
    <w:rsid w:val="499A110B"/>
    <w:rsid w:val="49A44385"/>
    <w:rsid w:val="49ADA7B6"/>
    <w:rsid w:val="49AE2B75"/>
    <w:rsid w:val="49B29B12"/>
    <w:rsid w:val="49BB7B6C"/>
    <w:rsid w:val="49CE7F60"/>
    <w:rsid w:val="49D304F5"/>
    <w:rsid w:val="49D30783"/>
    <w:rsid w:val="49E6FCFE"/>
    <w:rsid w:val="49EF5858"/>
    <w:rsid w:val="49F02E4C"/>
    <w:rsid w:val="49F26FB0"/>
    <w:rsid w:val="49F8B035"/>
    <w:rsid w:val="49F8EFFA"/>
    <w:rsid w:val="4A0A4D68"/>
    <w:rsid w:val="4A11BA31"/>
    <w:rsid w:val="4A31743C"/>
    <w:rsid w:val="4A422F42"/>
    <w:rsid w:val="4A425ACF"/>
    <w:rsid w:val="4A4820A2"/>
    <w:rsid w:val="4A48A545"/>
    <w:rsid w:val="4A545ADD"/>
    <w:rsid w:val="4A5540B4"/>
    <w:rsid w:val="4A5BD810"/>
    <w:rsid w:val="4A716709"/>
    <w:rsid w:val="4A74C205"/>
    <w:rsid w:val="4A775DD7"/>
    <w:rsid w:val="4A820F16"/>
    <w:rsid w:val="4A92C2DC"/>
    <w:rsid w:val="4A939764"/>
    <w:rsid w:val="4AA60C1C"/>
    <w:rsid w:val="4AB7B22E"/>
    <w:rsid w:val="4AB85ED9"/>
    <w:rsid w:val="4AC222AB"/>
    <w:rsid w:val="4AD598FB"/>
    <w:rsid w:val="4ADBF8DC"/>
    <w:rsid w:val="4AE06A4D"/>
    <w:rsid w:val="4AE0E15A"/>
    <w:rsid w:val="4AE74DEE"/>
    <w:rsid w:val="4AF0550D"/>
    <w:rsid w:val="4B014777"/>
    <w:rsid w:val="4B1DC1B0"/>
    <w:rsid w:val="4B2F3BEF"/>
    <w:rsid w:val="4B332B67"/>
    <w:rsid w:val="4B34835F"/>
    <w:rsid w:val="4B3C932F"/>
    <w:rsid w:val="4B3F2792"/>
    <w:rsid w:val="4B4C947E"/>
    <w:rsid w:val="4B521FAB"/>
    <w:rsid w:val="4B560D02"/>
    <w:rsid w:val="4B689261"/>
    <w:rsid w:val="4B735CF9"/>
    <w:rsid w:val="4B84BE51"/>
    <w:rsid w:val="4B88DCD3"/>
    <w:rsid w:val="4B900639"/>
    <w:rsid w:val="4B940C3F"/>
    <w:rsid w:val="4B9FF677"/>
    <w:rsid w:val="4BA18870"/>
    <w:rsid w:val="4BA65CCD"/>
    <w:rsid w:val="4BB147F6"/>
    <w:rsid w:val="4BBA641A"/>
    <w:rsid w:val="4BC7C570"/>
    <w:rsid w:val="4BD0721A"/>
    <w:rsid w:val="4BDCCF30"/>
    <w:rsid w:val="4BE05480"/>
    <w:rsid w:val="4BF480A3"/>
    <w:rsid w:val="4BF64CBE"/>
    <w:rsid w:val="4BFBC3F3"/>
    <w:rsid w:val="4C0A75FC"/>
    <w:rsid w:val="4C18BD8E"/>
    <w:rsid w:val="4C34B634"/>
    <w:rsid w:val="4C389641"/>
    <w:rsid w:val="4C3C5BEB"/>
    <w:rsid w:val="4C3D489D"/>
    <w:rsid w:val="4C4A4FA7"/>
    <w:rsid w:val="4C4ACF13"/>
    <w:rsid w:val="4C50420F"/>
    <w:rsid w:val="4C507094"/>
    <w:rsid w:val="4C58A6A1"/>
    <w:rsid w:val="4C656366"/>
    <w:rsid w:val="4C65A2F3"/>
    <w:rsid w:val="4C692F75"/>
    <w:rsid w:val="4C6F19DA"/>
    <w:rsid w:val="4C73364E"/>
    <w:rsid w:val="4C756CE4"/>
    <w:rsid w:val="4C8E0D9B"/>
    <w:rsid w:val="4C90EB31"/>
    <w:rsid w:val="4C95A4A6"/>
    <w:rsid w:val="4C9B57F6"/>
    <w:rsid w:val="4C9B5F83"/>
    <w:rsid w:val="4C9E2D3A"/>
    <w:rsid w:val="4CA28694"/>
    <w:rsid w:val="4CA3D661"/>
    <w:rsid w:val="4CA97C07"/>
    <w:rsid w:val="4CB16C68"/>
    <w:rsid w:val="4CB371E0"/>
    <w:rsid w:val="4CB83204"/>
    <w:rsid w:val="4CBB387A"/>
    <w:rsid w:val="4CC4C8B5"/>
    <w:rsid w:val="4CD90496"/>
    <w:rsid w:val="4CD96CA5"/>
    <w:rsid w:val="4CF76D8A"/>
    <w:rsid w:val="4D037E40"/>
    <w:rsid w:val="4D16E714"/>
    <w:rsid w:val="4D18A15A"/>
    <w:rsid w:val="4D3023EB"/>
    <w:rsid w:val="4D3B966D"/>
    <w:rsid w:val="4D3D3FE4"/>
    <w:rsid w:val="4D408CAD"/>
    <w:rsid w:val="4D4A0BB4"/>
    <w:rsid w:val="4D5312AE"/>
    <w:rsid w:val="4D57B818"/>
    <w:rsid w:val="4D58AC3D"/>
    <w:rsid w:val="4D715C9F"/>
    <w:rsid w:val="4D7418F6"/>
    <w:rsid w:val="4D783E18"/>
    <w:rsid w:val="4D8D6A51"/>
    <w:rsid w:val="4D911B4D"/>
    <w:rsid w:val="4D981E77"/>
    <w:rsid w:val="4D9A24BA"/>
    <w:rsid w:val="4DA44414"/>
    <w:rsid w:val="4DB0786E"/>
    <w:rsid w:val="4DBB5DB6"/>
    <w:rsid w:val="4DC3D646"/>
    <w:rsid w:val="4DCA9495"/>
    <w:rsid w:val="4DCB4490"/>
    <w:rsid w:val="4DD99E3B"/>
    <w:rsid w:val="4DDF1BA9"/>
    <w:rsid w:val="4DE4DEA6"/>
    <w:rsid w:val="4DEC674C"/>
    <w:rsid w:val="4DF21261"/>
    <w:rsid w:val="4DFB4AD1"/>
    <w:rsid w:val="4E00B433"/>
    <w:rsid w:val="4E01884F"/>
    <w:rsid w:val="4E02306F"/>
    <w:rsid w:val="4E054876"/>
    <w:rsid w:val="4E05C808"/>
    <w:rsid w:val="4E06B3BB"/>
    <w:rsid w:val="4E130226"/>
    <w:rsid w:val="4E20B7E9"/>
    <w:rsid w:val="4E253DC2"/>
    <w:rsid w:val="4E2A18F3"/>
    <w:rsid w:val="4E2B0CE9"/>
    <w:rsid w:val="4E41036A"/>
    <w:rsid w:val="4E460D7A"/>
    <w:rsid w:val="4E4F6E66"/>
    <w:rsid w:val="4E4FD9B9"/>
    <w:rsid w:val="4E5CFF05"/>
    <w:rsid w:val="4E6006C0"/>
    <w:rsid w:val="4E65D0E0"/>
    <w:rsid w:val="4E70E7B4"/>
    <w:rsid w:val="4E714D56"/>
    <w:rsid w:val="4E7B1711"/>
    <w:rsid w:val="4E861E9A"/>
    <w:rsid w:val="4E8A1C7B"/>
    <w:rsid w:val="4E8F8EFC"/>
    <w:rsid w:val="4E920C1C"/>
    <w:rsid w:val="4E9E0A1E"/>
    <w:rsid w:val="4EA29DCC"/>
    <w:rsid w:val="4EA37961"/>
    <w:rsid w:val="4EA6817F"/>
    <w:rsid w:val="4EA7EBDF"/>
    <w:rsid w:val="4EAA0318"/>
    <w:rsid w:val="4EB18B52"/>
    <w:rsid w:val="4EB498FC"/>
    <w:rsid w:val="4EB4D624"/>
    <w:rsid w:val="4EBA4A36"/>
    <w:rsid w:val="4EBB9EAB"/>
    <w:rsid w:val="4EC8F557"/>
    <w:rsid w:val="4ECDA5CD"/>
    <w:rsid w:val="4ED134F5"/>
    <w:rsid w:val="4EDFEB19"/>
    <w:rsid w:val="4EE6F2D8"/>
    <w:rsid w:val="4EF4A53F"/>
    <w:rsid w:val="4EF5F362"/>
    <w:rsid w:val="4EF743A2"/>
    <w:rsid w:val="4EFA62EC"/>
    <w:rsid w:val="4F008466"/>
    <w:rsid w:val="4F00B079"/>
    <w:rsid w:val="4F07635F"/>
    <w:rsid w:val="4F087751"/>
    <w:rsid w:val="4F0DDAA8"/>
    <w:rsid w:val="4F106A4A"/>
    <w:rsid w:val="4F15BAA9"/>
    <w:rsid w:val="4F1E1BF6"/>
    <w:rsid w:val="4F2558FF"/>
    <w:rsid w:val="4F2F8DC9"/>
    <w:rsid w:val="4F2FC09A"/>
    <w:rsid w:val="4F364B53"/>
    <w:rsid w:val="4F3C1658"/>
    <w:rsid w:val="4F4491DE"/>
    <w:rsid w:val="4F49AAB8"/>
    <w:rsid w:val="4F502FC2"/>
    <w:rsid w:val="4F60095E"/>
    <w:rsid w:val="4F69DB98"/>
    <w:rsid w:val="4F6FE8E7"/>
    <w:rsid w:val="4F8F0B37"/>
    <w:rsid w:val="4F906C14"/>
    <w:rsid w:val="4F944D55"/>
    <w:rsid w:val="4F9E9BBB"/>
    <w:rsid w:val="4FA1FC27"/>
    <w:rsid w:val="4FA7440F"/>
    <w:rsid w:val="4FAA31EA"/>
    <w:rsid w:val="4FAC46C1"/>
    <w:rsid w:val="4FB13EB0"/>
    <w:rsid w:val="4FB8E488"/>
    <w:rsid w:val="4FC06264"/>
    <w:rsid w:val="4FC255D1"/>
    <w:rsid w:val="4FC7F43F"/>
    <w:rsid w:val="4FDADC6A"/>
    <w:rsid w:val="4FDF1F5A"/>
    <w:rsid w:val="4FE4154A"/>
    <w:rsid w:val="4FE54E85"/>
    <w:rsid w:val="4FFA4A9D"/>
    <w:rsid w:val="4FFC7DA9"/>
    <w:rsid w:val="5003928A"/>
    <w:rsid w:val="500C19C8"/>
    <w:rsid w:val="500F535E"/>
    <w:rsid w:val="5011493F"/>
    <w:rsid w:val="50129C15"/>
    <w:rsid w:val="502AD0FD"/>
    <w:rsid w:val="502DAFB1"/>
    <w:rsid w:val="502FBF07"/>
    <w:rsid w:val="50385D7B"/>
    <w:rsid w:val="503DEEB3"/>
    <w:rsid w:val="504425D2"/>
    <w:rsid w:val="504ABE98"/>
    <w:rsid w:val="5058B185"/>
    <w:rsid w:val="505FEFC2"/>
    <w:rsid w:val="505FF57E"/>
    <w:rsid w:val="5061576F"/>
    <w:rsid w:val="506CF4AE"/>
    <w:rsid w:val="5077EEEB"/>
    <w:rsid w:val="507A8A82"/>
    <w:rsid w:val="509312C0"/>
    <w:rsid w:val="509C1278"/>
    <w:rsid w:val="50AA2A25"/>
    <w:rsid w:val="50B29B6F"/>
    <w:rsid w:val="50B844BE"/>
    <w:rsid w:val="50CCA93A"/>
    <w:rsid w:val="50D11942"/>
    <w:rsid w:val="50D518FF"/>
    <w:rsid w:val="50E648EA"/>
    <w:rsid w:val="50F92AA5"/>
    <w:rsid w:val="50FA9153"/>
    <w:rsid w:val="5100394D"/>
    <w:rsid w:val="51037375"/>
    <w:rsid w:val="510C0764"/>
    <w:rsid w:val="510EB814"/>
    <w:rsid w:val="5112E580"/>
    <w:rsid w:val="511AABEE"/>
    <w:rsid w:val="511BB3D0"/>
    <w:rsid w:val="511FA637"/>
    <w:rsid w:val="5122D35A"/>
    <w:rsid w:val="51304312"/>
    <w:rsid w:val="513178CC"/>
    <w:rsid w:val="51374ADA"/>
    <w:rsid w:val="5141E7F4"/>
    <w:rsid w:val="514280EB"/>
    <w:rsid w:val="514294E5"/>
    <w:rsid w:val="514E5B9C"/>
    <w:rsid w:val="5150FBDC"/>
    <w:rsid w:val="5151A73C"/>
    <w:rsid w:val="515BEC47"/>
    <w:rsid w:val="515C470C"/>
    <w:rsid w:val="516B6CD2"/>
    <w:rsid w:val="516C5E59"/>
    <w:rsid w:val="51723C1F"/>
    <w:rsid w:val="5173C521"/>
    <w:rsid w:val="518DA990"/>
    <w:rsid w:val="518F3530"/>
    <w:rsid w:val="519CC85C"/>
    <w:rsid w:val="519F7A33"/>
    <w:rsid w:val="51A418C8"/>
    <w:rsid w:val="51ADD90A"/>
    <w:rsid w:val="51B2EC5D"/>
    <w:rsid w:val="51B5B846"/>
    <w:rsid w:val="51C0C43F"/>
    <w:rsid w:val="51C84299"/>
    <w:rsid w:val="51D0FE04"/>
    <w:rsid w:val="51DD479A"/>
    <w:rsid w:val="51DE6F09"/>
    <w:rsid w:val="51DF1B8F"/>
    <w:rsid w:val="51E0B2F2"/>
    <w:rsid w:val="51E59C10"/>
    <w:rsid w:val="51E606EE"/>
    <w:rsid w:val="51E861CB"/>
    <w:rsid w:val="51EB54AF"/>
    <w:rsid w:val="51EE2C52"/>
    <w:rsid w:val="51F2D894"/>
    <w:rsid w:val="51FD0A7E"/>
    <w:rsid w:val="51FDFB86"/>
    <w:rsid w:val="5208E0BA"/>
    <w:rsid w:val="520C8A3A"/>
    <w:rsid w:val="5211E233"/>
    <w:rsid w:val="521D73CF"/>
    <w:rsid w:val="521F4DD4"/>
    <w:rsid w:val="522E5BD4"/>
    <w:rsid w:val="523AAEF6"/>
    <w:rsid w:val="523FDCD7"/>
    <w:rsid w:val="52413192"/>
    <w:rsid w:val="5242F275"/>
    <w:rsid w:val="52491A9D"/>
    <w:rsid w:val="5254FD87"/>
    <w:rsid w:val="52563B49"/>
    <w:rsid w:val="5256D922"/>
    <w:rsid w:val="5259302C"/>
    <w:rsid w:val="526222E9"/>
    <w:rsid w:val="5262DF5A"/>
    <w:rsid w:val="5264A226"/>
    <w:rsid w:val="526C393E"/>
    <w:rsid w:val="52705F7B"/>
    <w:rsid w:val="527B9F74"/>
    <w:rsid w:val="527F9CF4"/>
    <w:rsid w:val="528127FB"/>
    <w:rsid w:val="52862881"/>
    <w:rsid w:val="528D7D2B"/>
    <w:rsid w:val="52927512"/>
    <w:rsid w:val="5292E9D1"/>
    <w:rsid w:val="52A0FE30"/>
    <w:rsid w:val="52A454DC"/>
    <w:rsid w:val="52A74BAB"/>
    <w:rsid w:val="52A9731D"/>
    <w:rsid w:val="52A99915"/>
    <w:rsid w:val="52AC2250"/>
    <w:rsid w:val="52B092CC"/>
    <w:rsid w:val="52C221EA"/>
    <w:rsid w:val="52C3549E"/>
    <w:rsid w:val="52C637BB"/>
    <w:rsid w:val="52C90843"/>
    <w:rsid w:val="52D19D24"/>
    <w:rsid w:val="52D1DC5B"/>
    <w:rsid w:val="52DC663B"/>
    <w:rsid w:val="52E4441A"/>
    <w:rsid w:val="52E49B1E"/>
    <w:rsid w:val="52ED5A5A"/>
    <w:rsid w:val="52F1AA2F"/>
    <w:rsid w:val="52F8EE69"/>
    <w:rsid w:val="52FB958F"/>
    <w:rsid w:val="53100642"/>
    <w:rsid w:val="5312FFA7"/>
    <w:rsid w:val="531A5D17"/>
    <w:rsid w:val="531C0D3E"/>
    <w:rsid w:val="5321447F"/>
    <w:rsid w:val="5322A1BB"/>
    <w:rsid w:val="5324E938"/>
    <w:rsid w:val="53259C2F"/>
    <w:rsid w:val="53309EF4"/>
    <w:rsid w:val="533136D3"/>
    <w:rsid w:val="5338E077"/>
    <w:rsid w:val="534A08E9"/>
    <w:rsid w:val="534CD197"/>
    <w:rsid w:val="534D6469"/>
    <w:rsid w:val="535CFEEF"/>
    <w:rsid w:val="53625F49"/>
    <w:rsid w:val="536B5E1E"/>
    <w:rsid w:val="536EA963"/>
    <w:rsid w:val="53701BC5"/>
    <w:rsid w:val="537781C3"/>
    <w:rsid w:val="537D0EEF"/>
    <w:rsid w:val="5383D595"/>
    <w:rsid w:val="53850499"/>
    <w:rsid w:val="538AA33F"/>
    <w:rsid w:val="538BB503"/>
    <w:rsid w:val="538DDC01"/>
    <w:rsid w:val="539055A7"/>
    <w:rsid w:val="53977921"/>
    <w:rsid w:val="539B9AB8"/>
    <w:rsid w:val="53A4ADCA"/>
    <w:rsid w:val="53B9EAA2"/>
    <w:rsid w:val="53BA75F3"/>
    <w:rsid w:val="53BE80AA"/>
    <w:rsid w:val="53BF9FE0"/>
    <w:rsid w:val="53BFDEEF"/>
    <w:rsid w:val="53C7795E"/>
    <w:rsid w:val="53C8DD20"/>
    <w:rsid w:val="53C9C093"/>
    <w:rsid w:val="53D494CE"/>
    <w:rsid w:val="53D4B736"/>
    <w:rsid w:val="53D7D26A"/>
    <w:rsid w:val="53E0FCC9"/>
    <w:rsid w:val="53E42583"/>
    <w:rsid w:val="53E64FCD"/>
    <w:rsid w:val="53E6AAD1"/>
    <w:rsid w:val="53FB00B0"/>
    <w:rsid w:val="5404CFEC"/>
    <w:rsid w:val="5407F67C"/>
    <w:rsid w:val="540E1996"/>
    <w:rsid w:val="540FD031"/>
    <w:rsid w:val="54133746"/>
    <w:rsid w:val="5433CBF9"/>
    <w:rsid w:val="5436FC52"/>
    <w:rsid w:val="54395724"/>
    <w:rsid w:val="543D789F"/>
    <w:rsid w:val="54434108"/>
    <w:rsid w:val="544D1844"/>
    <w:rsid w:val="54505C82"/>
    <w:rsid w:val="5457E804"/>
    <w:rsid w:val="5459C586"/>
    <w:rsid w:val="545EB74A"/>
    <w:rsid w:val="546BAACA"/>
    <w:rsid w:val="546C95CC"/>
    <w:rsid w:val="54732D4E"/>
    <w:rsid w:val="54AC7060"/>
    <w:rsid w:val="54B1CDE9"/>
    <w:rsid w:val="54B2564F"/>
    <w:rsid w:val="54B2D617"/>
    <w:rsid w:val="54B65298"/>
    <w:rsid w:val="54B7ED79"/>
    <w:rsid w:val="54BEA15C"/>
    <w:rsid w:val="54C0B932"/>
    <w:rsid w:val="54C28674"/>
    <w:rsid w:val="54CA9D18"/>
    <w:rsid w:val="54CEEE61"/>
    <w:rsid w:val="54D4FDBB"/>
    <w:rsid w:val="54D7B393"/>
    <w:rsid w:val="54DBF3B0"/>
    <w:rsid w:val="54E3350C"/>
    <w:rsid w:val="54F57CD8"/>
    <w:rsid w:val="54F584D4"/>
    <w:rsid w:val="5504DFF5"/>
    <w:rsid w:val="55062599"/>
    <w:rsid w:val="55122A4E"/>
    <w:rsid w:val="55125CC5"/>
    <w:rsid w:val="551FEE09"/>
    <w:rsid w:val="55211C4B"/>
    <w:rsid w:val="55273D74"/>
    <w:rsid w:val="552F39D0"/>
    <w:rsid w:val="55318DD4"/>
    <w:rsid w:val="55465EB8"/>
    <w:rsid w:val="555889AC"/>
    <w:rsid w:val="555B13B8"/>
    <w:rsid w:val="555FF868"/>
    <w:rsid w:val="5563F0FE"/>
    <w:rsid w:val="556ABEEC"/>
    <w:rsid w:val="557698F7"/>
    <w:rsid w:val="55826EF4"/>
    <w:rsid w:val="5587090A"/>
    <w:rsid w:val="5589191C"/>
    <w:rsid w:val="5593D2DF"/>
    <w:rsid w:val="559980DB"/>
    <w:rsid w:val="559B0DB3"/>
    <w:rsid w:val="559D4827"/>
    <w:rsid w:val="55AA40DB"/>
    <w:rsid w:val="55AAEE2A"/>
    <w:rsid w:val="55AB20DA"/>
    <w:rsid w:val="55AED948"/>
    <w:rsid w:val="55BBA217"/>
    <w:rsid w:val="55C7D2C0"/>
    <w:rsid w:val="55CA4A0D"/>
    <w:rsid w:val="55CD5D34"/>
    <w:rsid w:val="55D39C87"/>
    <w:rsid w:val="55D72A33"/>
    <w:rsid w:val="55DF1169"/>
    <w:rsid w:val="55E0DBC1"/>
    <w:rsid w:val="55E5FBE3"/>
    <w:rsid w:val="55E98680"/>
    <w:rsid w:val="55EEC52F"/>
    <w:rsid w:val="55F26018"/>
    <w:rsid w:val="55FAA5A0"/>
    <w:rsid w:val="560B506E"/>
    <w:rsid w:val="56119A80"/>
    <w:rsid w:val="56149BE0"/>
    <w:rsid w:val="56171CB2"/>
    <w:rsid w:val="56193AE7"/>
    <w:rsid w:val="561EB463"/>
    <w:rsid w:val="5624867E"/>
    <w:rsid w:val="562AF2D2"/>
    <w:rsid w:val="562B57D2"/>
    <w:rsid w:val="5638170F"/>
    <w:rsid w:val="563C951D"/>
    <w:rsid w:val="564596A0"/>
    <w:rsid w:val="5665E1DD"/>
    <w:rsid w:val="566C50B0"/>
    <w:rsid w:val="5675E400"/>
    <w:rsid w:val="56800C01"/>
    <w:rsid w:val="56891123"/>
    <w:rsid w:val="568AC1F2"/>
    <w:rsid w:val="5691FB21"/>
    <w:rsid w:val="5694E758"/>
    <w:rsid w:val="5695344E"/>
    <w:rsid w:val="5695F80D"/>
    <w:rsid w:val="5696C025"/>
    <w:rsid w:val="569D4DBC"/>
    <w:rsid w:val="569D55CC"/>
    <w:rsid w:val="56A5B2AD"/>
    <w:rsid w:val="56A91EC7"/>
    <w:rsid w:val="56AE745C"/>
    <w:rsid w:val="56C1CB5B"/>
    <w:rsid w:val="56C4E7DB"/>
    <w:rsid w:val="56C9E4C5"/>
    <w:rsid w:val="56CAE2B6"/>
    <w:rsid w:val="56D8527D"/>
    <w:rsid w:val="56DC90B6"/>
    <w:rsid w:val="56DEA759"/>
    <w:rsid w:val="56E0A464"/>
    <w:rsid w:val="56F3E0D1"/>
    <w:rsid w:val="56F6E247"/>
    <w:rsid w:val="56F830A8"/>
    <w:rsid w:val="57033D36"/>
    <w:rsid w:val="5711935A"/>
    <w:rsid w:val="5715015D"/>
    <w:rsid w:val="571DA963"/>
    <w:rsid w:val="571E6247"/>
    <w:rsid w:val="57234C17"/>
    <w:rsid w:val="57330160"/>
    <w:rsid w:val="573AC289"/>
    <w:rsid w:val="57431893"/>
    <w:rsid w:val="5749375B"/>
    <w:rsid w:val="5766E4CE"/>
    <w:rsid w:val="5768E466"/>
    <w:rsid w:val="578CFDA8"/>
    <w:rsid w:val="5795684C"/>
    <w:rsid w:val="57A1BFEA"/>
    <w:rsid w:val="57A81F0D"/>
    <w:rsid w:val="57AA3698"/>
    <w:rsid w:val="57ABFCA7"/>
    <w:rsid w:val="57BD2200"/>
    <w:rsid w:val="57CD29E0"/>
    <w:rsid w:val="57CD4EF8"/>
    <w:rsid w:val="57DCB862"/>
    <w:rsid w:val="57DEEE76"/>
    <w:rsid w:val="57E5EE4F"/>
    <w:rsid w:val="57EA394C"/>
    <w:rsid w:val="57F813A9"/>
    <w:rsid w:val="58076475"/>
    <w:rsid w:val="58169C05"/>
    <w:rsid w:val="5826640C"/>
    <w:rsid w:val="582A1665"/>
    <w:rsid w:val="5831C738"/>
    <w:rsid w:val="5832C993"/>
    <w:rsid w:val="5834935A"/>
    <w:rsid w:val="58419EA8"/>
    <w:rsid w:val="58470410"/>
    <w:rsid w:val="584DD6BA"/>
    <w:rsid w:val="58700403"/>
    <w:rsid w:val="58709709"/>
    <w:rsid w:val="58780693"/>
    <w:rsid w:val="587EC8BA"/>
    <w:rsid w:val="58865207"/>
    <w:rsid w:val="58A5149F"/>
    <w:rsid w:val="58AD8E0D"/>
    <w:rsid w:val="58AF5602"/>
    <w:rsid w:val="58B142DA"/>
    <w:rsid w:val="58B22961"/>
    <w:rsid w:val="58B32E54"/>
    <w:rsid w:val="58B58DF8"/>
    <w:rsid w:val="58D14A0E"/>
    <w:rsid w:val="58E09A26"/>
    <w:rsid w:val="58E3D1B5"/>
    <w:rsid w:val="58EE68BB"/>
    <w:rsid w:val="58F2C983"/>
    <w:rsid w:val="58F3C6AA"/>
    <w:rsid w:val="58FD6951"/>
    <w:rsid w:val="590833E9"/>
    <w:rsid w:val="59127684"/>
    <w:rsid w:val="59220B06"/>
    <w:rsid w:val="592852A4"/>
    <w:rsid w:val="592ED77C"/>
    <w:rsid w:val="59355FE5"/>
    <w:rsid w:val="5935C558"/>
    <w:rsid w:val="59384AD7"/>
    <w:rsid w:val="5941B8EB"/>
    <w:rsid w:val="5943F498"/>
    <w:rsid w:val="594BCAE9"/>
    <w:rsid w:val="594D304E"/>
    <w:rsid w:val="594DC67A"/>
    <w:rsid w:val="595B3FB7"/>
    <w:rsid w:val="5962CA0F"/>
    <w:rsid w:val="596701F5"/>
    <w:rsid w:val="59684832"/>
    <w:rsid w:val="59757800"/>
    <w:rsid w:val="59774E07"/>
    <w:rsid w:val="597952C0"/>
    <w:rsid w:val="597A14FA"/>
    <w:rsid w:val="597A285A"/>
    <w:rsid w:val="597D453B"/>
    <w:rsid w:val="598478B7"/>
    <w:rsid w:val="5987E66A"/>
    <w:rsid w:val="598ACF0A"/>
    <w:rsid w:val="598B5983"/>
    <w:rsid w:val="598B82A2"/>
    <w:rsid w:val="598EF99E"/>
    <w:rsid w:val="599D39B1"/>
    <w:rsid w:val="59A3F00A"/>
    <w:rsid w:val="59A4B286"/>
    <w:rsid w:val="59B09399"/>
    <w:rsid w:val="59BE56D2"/>
    <w:rsid w:val="59C7ED68"/>
    <w:rsid w:val="59CC6E9B"/>
    <w:rsid w:val="59D3F08D"/>
    <w:rsid w:val="59D7E211"/>
    <w:rsid w:val="59DB1B67"/>
    <w:rsid w:val="59E6FC31"/>
    <w:rsid w:val="59F0822F"/>
    <w:rsid w:val="59FA7A90"/>
    <w:rsid w:val="59FAC9D9"/>
    <w:rsid w:val="5A14D4BC"/>
    <w:rsid w:val="5A1A1C5E"/>
    <w:rsid w:val="5A292985"/>
    <w:rsid w:val="5A296D9B"/>
    <w:rsid w:val="5A2B1244"/>
    <w:rsid w:val="5A2C4E48"/>
    <w:rsid w:val="5A3197D2"/>
    <w:rsid w:val="5A3444F7"/>
    <w:rsid w:val="5A37D327"/>
    <w:rsid w:val="5A4280C0"/>
    <w:rsid w:val="5A44792E"/>
    <w:rsid w:val="5A4A0518"/>
    <w:rsid w:val="5A5F3F31"/>
    <w:rsid w:val="5A6111FF"/>
    <w:rsid w:val="5A76F368"/>
    <w:rsid w:val="5A7D1A86"/>
    <w:rsid w:val="5A7DE2C5"/>
    <w:rsid w:val="5A8512AA"/>
    <w:rsid w:val="5A9263D1"/>
    <w:rsid w:val="5A95C160"/>
    <w:rsid w:val="5AA12B12"/>
    <w:rsid w:val="5AA1762D"/>
    <w:rsid w:val="5AA240D9"/>
    <w:rsid w:val="5AA2BC05"/>
    <w:rsid w:val="5AA2C93B"/>
    <w:rsid w:val="5AA89D96"/>
    <w:rsid w:val="5AC03607"/>
    <w:rsid w:val="5AC0C4BB"/>
    <w:rsid w:val="5AC1472C"/>
    <w:rsid w:val="5AD34800"/>
    <w:rsid w:val="5AD7BEA5"/>
    <w:rsid w:val="5AE44CDC"/>
    <w:rsid w:val="5AE4EC7F"/>
    <w:rsid w:val="5AEA1BB9"/>
    <w:rsid w:val="5AED01F0"/>
    <w:rsid w:val="5AEEE1E1"/>
    <w:rsid w:val="5AFACC8D"/>
    <w:rsid w:val="5AFCB223"/>
    <w:rsid w:val="5AFFCBA8"/>
    <w:rsid w:val="5B03E2A0"/>
    <w:rsid w:val="5B065E15"/>
    <w:rsid w:val="5B08AE60"/>
    <w:rsid w:val="5B0A2B33"/>
    <w:rsid w:val="5B0AF0BA"/>
    <w:rsid w:val="5B0B5319"/>
    <w:rsid w:val="5B100373"/>
    <w:rsid w:val="5B236635"/>
    <w:rsid w:val="5B2929FC"/>
    <w:rsid w:val="5B29C8AA"/>
    <w:rsid w:val="5B29DB32"/>
    <w:rsid w:val="5B33EE01"/>
    <w:rsid w:val="5B3BEA98"/>
    <w:rsid w:val="5B435AE4"/>
    <w:rsid w:val="5B466A8B"/>
    <w:rsid w:val="5B5D35DE"/>
    <w:rsid w:val="5B60D774"/>
    <w:rsid w:val="5B6CE16A"/>
    <w:rsid w:val="5B6D95DF"/>
    <w:rsid w:val="5B747BB3"/>
    <w:rsid w:val="5B7540E3"/>
    <w:rsid w:val="5B784C5B"/>
    <w:rsid w:val="5B95CE04"/>
    <w:rsid w:val="5B9A5397"/>
    <w:rsid w:val="5BABC076"/>
    <w:rsid w:val="5BB28CCE"/>
    <w:rsid w:val="5BC29144"/>
    <w:rsid w:val="5BC2CB86"/>
    <w:rsid w:val="5BC52B38"/>
    <w:rsid w:val="5BCEAF7A"/>
    <w:rsid w:val="5BD09BD7"/>
    <w:rsid w:val="5BD31030"/>
    <w:rsid w:val="5BD6BE3F"/>
    <w:rsid w:val="5BD99FE5"/>
    <w:rsid w:val="5BE67024"/>
    <w:rsid w:val="5BF172F0"/>
    <w:rsid w:val="5BFCEE40"/>
    <w:rsid w:val="5C03BB02"/>
    <w:rsid w:val="5C06120B"/>
    <w:rsid w:val="5C08795E"/>
    <w:rsid w:val="5C092394"/>
    <w:rsid w:val="5C0F01D2"/>
    <w:rsid w:val="5C167388"/>
    <w:rsid w:val="5C177397"/>
    <w:rsid w:val="5C20424B"/>
    <w:rsid w:val="5C26599B"/>
    <w:rsid w:val="5C28E641"/>
    <w:rsid w:val="5C298E46"/>
    <w:rsid w:val="5C31F8CA"/>
    <w:rsid w:val="5C350F6B"/>
    <w:rsid w:val="5C3D7F34"/>
    <w:rsid w:val="5C471EA0"/>
    <w:rsid w:val="5C60CD87"/>
    <w:rsid w:val="5C6A9141"/>
    <w:rsid w:val="5C6D469D"/>
    <w:rsid w:val="5C7D2108"/>
    <w:rsid w:val="5C7E5BA2"/>
    <w:rsid w:val="5C9225FF"/>
    <w:rsid w:val="5C996B08"/>
    <w:rsid w:val="5C9BCE0B"/>
    <w:rsid w:val="5C9D491F"/>
    <w:rsid w:val="5CA3074A"/>
    <w:rsid w:val="5CAD1EE4"/>
    <w:rsid w:val="5CAE3C4C"/>
    <w:rsid w:val="5CB02225"/>
    <w:rsid w:val="5CBD0FA6"/>
    <w:rsid w:val="5CC0F410"/>
    <w:rsid w:val="5CC635B9"/>
    <w:rsid w:val="5CC67D20"/>
    <w:rsid w:val="5CC726FD"/>
    <w:rsid w:val="5CCF2C22"/>
    <w:rsid w:val="5CD1E0EA"/>
    <w:rsid w:val="5CD62ACE"/>
    <w:rsid w:val="5CEF9C2C"/>
    <w:rsid w:val="5CF5E4D2"/>
    <w:rsid w:val="5CFCEC20"/>
    <w:rsid w:val="5CFDFFBC"/>
    <w:rsid w:val="5CFFDED7"/>
    <w:rsid w:val="5D0477F4"/>
    <w:rsid w:val="5D25454B"/>
    <w:rsid w:val="5D2B1472"/>
    <w:rsid w:val="5D2ED146"/>
    <w:rsid w:val="5D37D236"/>
    <w:rsid w:val="5D38E1B2"/>
    <w:rsid w:val="5D491FEF"/>
    <w:rsid w:val="5D5D4B19"/>
    <w:rsid w:val="5D6416B6"/>
    <w:rsid w:val="5D643D15"/>
    <w:rsid w:val="5D735A13"/>
    <w:rsid w:val="5D8BD1BB"/>
    <w:rsid w:val="5DA1E26C"/>
    <w:rsid w:val="5DA27C6E"/>
    <w:rsid w:val="5DA3E1C7"/>
    <w:rsid w:val="5DA61F62"/>
    <w:rsid w:val="5DAE3A18"/>
    <w:rsid w:val="5DB0C356"/>
    <w:rsid w:val="5DBA425D"/>
    <w:rsid w:val="5DC04708"/>
    <w:rsid w:val="5DC06510"/>
    <w:rsid w:val="5DC6696A"/>
    <w:rsid w:val="5DC7ABCB"/>
    <w:rsid w:val="5DC84E28"/>
    <w:rsid w:val="5DCC820E"/>
    <w:rsid w:val="5DD0F1B9"/>
    <w:rsid w:val="5DD1620F"/>
    <w:rsid w:val="5DED448A"/>
    <w:rsid w:val="5DF286D4"/>
    <w:rsid w:val="5DF7D6C9"/>
    <w:rsid w:val="5E0A1DB2"/>
    <w:rsid w:val="5E1BB847"/>
    <w:rsid w:val="5E1C1FBF"/>
    <w:rsid w:val="5E1D771C"/>
    <w:rsid w:val="5E1FDE75"/>
    <w:rsid w:val="5E325B65"/>
    <w:rsid w:val="5E3D9B13"/>
    <w:rsid w:val="5E468704"/>
    <w:rsid w:val="5E4CA350"/>
    <w:rsid w:val="5E53CE84"/>
    <w:rsid w:val="5E57DF2C"/>
    <w:rsid w:val="5E5EB532"/>
    <w:rsid w:val="5E61C1D5"/>
    <w:rsid w:val="5E6322C7"/>
    <w:rsid w:val="5E6C5526"/>
    <w:rsid w:val="5E730F1B"/>
    <w:rsid w:val="5E7823A9"/>
    <w:rsid w:val="5E87E05F"/>
    <w:rsid w:val="5E971AA5"/>
    <w:rsid w:val="5E9A387B"/>
    <w:rsid w:val="5EA0F55C"/>
    <w:rsid w:val="5EAFC933"/>
    <w:rsid w:val="5EB1DEEC"/>
    <w:rsid w:val="5EB2A47F"/>
    <w:rsid w:val="5EB818CB"/>
    <w:rsid w:val="5EBB99EA"/>
    <w:rsid w:val="5ED0F975"/>
    <w:rsid w:val="5ED665A7"/>
    <w:rsid w:val="5ED677DC"/>
    <w:rsid w:val="5ED72C24"/>
    <w:rsid w:val="5EEC589F"/>
    <w:rsid w:val="5EFB99F6"/>
    <w:rsid w:val="5EFC5816"/>
    <w:rsid w:val="5EFD0EC8"/>
    <w:rsid w:val="5F01B4D7"/>
    <w:rsid w:val="5F05D277"/>
    <w:rsid w:val="5F079CA4"/>
    <w:rsid w:val="5F08A82A"/>
    <w:rsid w:val="5F12EA3D"/>
    <w:rsid w:val="5F1585C1"/>
    <w:rsid w:val="5F38749D"/>
    <w:rsid w:val="5F3F6509"/>
    <w:rsid w:val="5F400D50"/>
    <w:rsid w:val="5F415C7C"/>
    <w:rsid w:val="5F4D9300"/>
    <w:rsid w:val="5F50D0DF"/>
    <w:rsid w:val="5F595026"/>
    <w:rsid w:val="5F5F60C0"/>
    <w:rsid w:val="5F60ACC2"/>
    <w:rsid w:val="5F66CB4E"/>
    <w:rsid w:val="5F683232"/>
    <w:rsid w:val="5F70B816"/>
    <w:rsid w:val="5F710E87"/>
    <w:rsid w:val="5F7352E6"/>
    <w:rsid w:val="5F757371"/>
    <w:rsid w:val="5F87D396"/>
    <w:rsid w:val="5F92F57B"/>
    <w:rsid w:val="5F9448CD"/>
    <w:rsid w:val="5FC5BF74"/>
    <w:rsid w:val="5FCA1A63"/>
    <w:rsid w:val="5FCCDD43"/>
    <w:rsid w:val="5FCD73D4"/>
    <w:rsid w:val="5FD6D728"/>
    <w:rsid w:val="5FDCDFFF"/>
    <w:rsid w:val="5FE1AE87"/>
    <w:rsid w:val="5FE5A97E"/>
    <w:rsid w:val="5FEFC086"/>
    <w:rsid w:val="5FF04C88"/>
    <w:rsid w:val="5FF4863E"/>
    <w:rsid w:val="5FFCBD53"/>
    <w:rsid w:val="60051A4E"/>
    <w:rsid w:val="600BFC5B"/>
    <w:rsid w:val="6020F30E"/>
    <w:rsid w:val="6027237E"/>
    <w:rsid w:val="6035059C"/>
    <w:rsid w:val="603B4619"/>
    <w:rsid w:val="604634CC"/>
    <w:rsid w:val="60464BE8"/>
    <w:rsid w:val="60468754"/>
    <w:rsid w:val="6048A5DA"/>
    <w:rsid w:val="604AA19B"/>
    <w:rsid w:val="6051AAEC"/>
    <w:rsid w:val="6053638D"/>
    <w:rsid w:val="60541130"/>
    <w:rsid w:val="6056212E"/>
    <w:rsid w:val="6060BABE"/>
    <w:rsid w:val="606148DE"/>
    <w:rsid w:val="6065C82B"/>
    <w:rsid w:val="606D59F4"/>
    <w:rsid w:val="606D6274"/>
    <w:rsid w:val="607057CC"/>
    <w:rsid w:val="60716C62"/>
    <w:rsid w:val="6075413D"/>
    <w:rsid w:val="6075CBEC"/>
    <w:rsid w:val="607F57A1"/>
    <w:rsid w:val="60802026"/>
    <w:rsid w:val="60815CA8"/>
    <w:rsid w:val="6082D290"/>
    <w:rsid w:val="608B2BBB"/>
    <w:rsid w:val="609B1378"/>
    <w:rsid w:val="60B57573"/>
    <w:rsid w:val="60BBB247"/>
    <w:rsid w:val="60BF905E"/>
    <w:rsid w:val="60C45490"/>
    <w:rsid w:val="60C866CE"/>
    <w:rsid w:val="60D282B6"/>
    <w:rsid w:val="60D2EC48"/>
    <w:rsid w:val="60D3B623"/>
    <w:rsid w:val="60E647AA"/>
    <w:rsid w:val="60EC175D"/>
    <w:rsid w:val="60EE860A"/>
    <w:rsid w:val="60FAD4A0"/>
    <w:rsid w:val="60FF7872"/>
    <w:rsid w:val="6109BF35"/>
    <w:rsid w:val="610A9300"/>
    <w:rsid w:val="611D00BB"/>
    <w:rsid w:val="612719CE"/>
    <w:rsid w:val="612D45A1"/>
    <w:rsid w:val="613238AA"/>
    <w:rsid w:val="613823F4"/>
    <w:rsid w:val="61420916"/>
    <w:rsid w:val="6143D1C3"/>
    <w:rsid w:val="61447727"/>
    <w:rsid w:val="6149BE59"/>
    <w:rsid w:val="614E67D6"/>
    <w:rsid w:val="61573294"/>
    <w:rsid w:val="61581EEF"/>
    <w:rsid w:val="615B7B8B"/>
    <w:rsid w:val="616D54AC"/>
    <w:rsid w:val="6173B1EA"/>
    <w:rsid w:val="61749CD2"/>
    <w:rsid w:val="61781F37"/>
    <w:rsid w:val="61794C33"/>
    <w:rsid w:val="617CEB63"/>
    <w:rsid w:val="6188C614"/>
    <w:rsid w:val="618E1BA7"/>
    <w:rsid w:val="61969C0E"/>
    <w:rsid w:val="619B6885"/>
    <w:rsid w:val="619FA3C9"/>
    <w:rsid w:val="61AA82FE"/>
    <w:rsid w:val="61AD21C5"/>
    <w:rsid w:val="61B7A6DD"/>
    <w:rsid w:val="61B86F60"/>
    <w:rsid w:val="61B8762A"/>
    <w:rsid w:val="61BE88C8"/>
    <w:rsid w:val="61C999B6"/>
    <w:rsid w:val="61CD9A32"/>
    <w:rsid w:val="61DA1DA0"/>
    <w:rsid w:val="61DBC6F3"/>
    <w:rsid w:val="61E4C635"/>
    <w:rsid w:val="61F3B746"/>
    <w:rsid w:val="61F4064E"/>
    <w:rsid w:val="61F8642C"/>
    <w:rsid w:val="62047BD2"/>
    <w:rsid w:val="6211BDC5"/>
    <w:rsid w:val="62177E49"/>
    <w:rsid w:val="621A5C16"/>
    <w:rsid w:val="62201909"/>
    <w:rsid w:val="6224C99C"/>
    <w:rsid w:val="62314FD5"/>
    <w:rsid w:val="62337D56"/>
    <w:rsid w:val="62343D57"/>
    <w:rsid w:val="623AC5B0"/>
    <w:rsid w:val="623E875F"/>
    <w:rsid w:val="624968AB"/>
    <w:rsid w:val="625023D7"/>
    <w:rsid w:val="6252C72D"/>
    <w:rsid w:val="625805EA"/>
    <w:rsid w:val="6265029F"/>
    <w:rsid w:val="62694DD4"/>
    <w:rsid w:val="6271F51A"/>
    <w:rsid w:val="627436DA"/>
    <w:rsid w:val="627A2357"/>
    <w:rsid w:val="627B497E"/>
    <w:rsid w:val="627E6D80"/>
    <w:rsid w:val="62890C3D"/>
    <w:rsid w:val="62897629"/>
    <w:rsid w:val="628EF029"/>
    <w:rsid w:val="629AFAD4"/>
    <w:rsid w:val="629CDE3E"/>
    <w:rsid w:val="62A1018B"/>
    <w:rsid w:val="62A6327C"/>
    <w:rsid w:val="62AB51EC"/>
    <w:rsid w:val="62AE3244"/>
    <w:rsid w:val="62B08662"/>
    <w:rsid w:val="62B4B0B2"/>
    <w:rsid w:val="62C1A384"/>
    <w:rsid w:val="62C7ED64"/>
    <w:rsid w:val="62CE9EEE"/>
    <w:rsid w:val="62D2A72A"/>
    <w:rsid w:val="62DB4AE7"/>
    <w:rsid w:val="62DD8AF8"/>
    <w:rsid w:val="62DE688F"/>
    <w:rsid w:val="62E12C6F"/>
    <w:rsid w:val="62E434DF"/>
    <w:rsid w:val="62F1B23A"/>
    <w:rsid w:val="62F2E40F"/>
    <w:rsid w:val="6303BB3F"/>
    <w:rsid w:val="6305157D"/>
    <w:rsid w:val="6319E6C1"/>
    <w:rsid w:val="631B8D72"/>
    <w:rsid w:val="6326FEED"/>
    <w:rsid w:val="63289876"/>
    <w:rsid w:val="632DD86C"/>
    <w:rsid w:val="63326C6F"/>
    <w:rsid w:val="63463171"/>
    <w:rsid w:val="634A70BA"/>
    <w:rsid w:val="634E306E"/>
    <w:rsid w:val="63630388"/>
    <w:rsid w:val="636388D6"/>
    <w:rsid w:val="63747FD1"/>
    <w:rsid w:val="6376ACAE"/>
    <w:rsid w:val="6382C4F3"/>
    <w:rsid w:val="6383420C"/>
    <w:rsid w:val="63851D3E"/>
    <w:rsid w:val="63903269"/>
    <w:rsid w:val="63917AEE"/>
    <w:rsid w:val="639336D9"/>
    <w:rsid w:val="639B284F"/>
    <w:rsid w:val="639BB936"/>
    <w:rsid w:val="639DB88E"/>
    <w:rsid w:val="63A46320"/>
    <w:rsid w:val="63A9E5FF"/>
    <w:rsid w:val="63AC6605"/>
    <w:rsid w:val="63B0F3C0"/>
    <w:rsid w:val="63BDBB13"/>
    <w:rsid w:val="63C05443"/>
    <w:rsid w:val="63C17F77"/>
    <w:rsid w:val="63C2DD47"/>
    <w:rsid w:val="63C89B3E"/>
    <w:rsid w:val="63D594D4"/>
    <w:rsid w:val="63D85A05"/>
    <w:rsid w:val="63DE1562"/>
    <w:rsid w:val="63E0BB3F"/>
    <w:rsid w:val="63E5A877"/>
    <w:rsid w:val="63E7967F"/>
    <w:rsid w:val="63EDDDC1"/>
    <w:rsid w:val="63F78C54"/>
    <w:rsid w:val="640CFED0"/>
    <w:rsid w:val="640E5919"/>
    <w:rsid w:val="641CA152"/>
    <w:rsid w:val="6420AA9A"/>
    <w:rsid w:val="6428DE56"/>
    <w:rsid w:val="6435AD0B"/>
    <w:rsid w:val="643BC368"/>
    <w:rsid w:val="644BCBFE"/>
    <w:rsid w:val="645831C2"/>
    <w:rsid w:val="645B61D5"/>
    <w:rsid w:val="645F54FF"/>
    <w:rsid w:val="646B45A9"/>
    <w:rsid w:val="646C37E6"/>
    <w:rsid w:val="647C8690"/>
    <w:rsid w:val="648806FB"/>
    <w:rsid w:val="6489C309"/>
    <w:rsid w:val="648A8AB9"/>
    <w:rsid w:val="648B70B0"/>
    <w:rsid w:val="648BBE0C"/>
    <w:rsid w:val="648DD418"/>
    <w:rsid w:val="649553D0"/>
    <w:rsid w:val="649B6B54"/>
    <w:rsid w:val="649B79A0"/>
    <w:rsid w:val="64A7F687"/>
    <w:rsid w:val="64B63D01"/>
    <w:rsid w:val="64BAAE22"/>
    <w:rsid w:val="64C1E118"/>
    <w:rsid w:val="64C5C26C"/>
    <w:rsid w:val="64C67567"/>
    <w:rsid w:val="64CD392A"/>
    <w:rsid w:val="64CF087C"/>
    <w:rsid w:val="64D4D373"/>
    <w:rsid w:val="64D68667"/>
    <w:rsid w:val="64DB2D62"/>
    <w:rsid w:val="64E2F62C"/>
    <w:rsid w:val="64E30788"/>
    <w:rsid w:val="64FC6528"/>
    <w:rsid w:val="64FE6E6A"/>
    <w:rsid w:val="64FF3CC3"/>
    <w:rsid w:val="65012C44"/>
    <w:rsid w:val="650D4592"/>
    <w:rsid w:val="650F7FF7"/>
    <w:rsid w:val="65132141"/>
    <w:rsid w:val="65192863"/>
    <w:rsid w:val="651BC14C"/>
    <w:rsid w:val="652852BC"/>
    <w:rsid w:val="652AAF85"/>
    <w:rsid w:val="652CF0DD"/>
    <w:rsid w:val="65394BB3"/>
    <w:rsid w:val="653D613E"/>
    <w:rsid w:val="653ECAF6"/>
    <w:rsid w:val="653F72C9"/>
    <w:rsid w:val="654F3631"/>
    <w:rsid w:val="6553137E"/>
    <w:rsid w:val="65603E59"/>
    <w:rsid w:val="65627262"/>
    <w:rsid w:val="6568827A"/>
    <w:rsid w:val="65692CF1"/>
    <w:rsid w:val="656E84B1"/>
    <w:rsid w:val="657891BD"/>
    <w:rsid w:val="657DAB83"/>
    <w:rsid w:val="657EC805"/>
    <w:rsid w:val="65825F6C"/>
    <w:rsid w:val="65843ACE"/>
    <w:rsid w:val="658B8FBE"/>
    <w:rsid w:val="65991818"/>
    <w:rsid w:val="659D2EC0"/>
    <w:rsid w:val="65A41B8B"/>
    <w:rsid w:val="65AF7F53"/>
    <w:rsid w:val="65B2EDE0"/>
    <w:rsid w:val="65B6DC5D"/>
    <w:rsid w:val="65D433D5"/>
    <w:rsid w:val="65D6E05C"/>
    <w:rsid w:val="65E65D10"/>
    <w:rsid w:val="65E8DD44"/>
    <w:rsid w:val="65EB4B4F"/>
    <w:rsid w:val="65F93803"/>
    <w:rsid w:val="6603DDB3"/>
    <w:rsid w:val="66068044"/>
    <w:rsid w:val="660DCD89"/>
    <w:rsid w:val="6615FC37"/>
    <w:rsid w:val="66191148"/>
    <w:rsid w:val="662C57D6"/>
    <w:rsid w:val="663F1925"/>
    <w:rsid w:val="66406CBF"/>
    <w:rsid w:val="6643BA3D"/>
    <w:rsid w:val="6643C6E8"/>
    <w:rsid w:val="664D2A3A"/>
    <w:rsid w:val="665FEE10"/>
    <w:rsid w:val="66662830"/>
    <w:rsid w:val="6675317D"/>
    <w:rsid w:val="667A866E"/>
    <w:rsid w:val="667F1CB2"/>
    <w:rsid w:val="668B05B9"/>
    <w:rsid w:val="6690F1B3"/>
    <w:rsid w:val="6691A681"/>
    <w:rsid w:val="66959A40"/>
    <w:rsid w:val="66991D5E"/>
    <w:rsid w:val="669D8FFA"/>
    <w:rsid w:val="66BB7028"/>
    <w:rsid w:val="66C9C9AC"/>
    <w:rsid w:val="66D2D468"/>
    <w:rsid w:val="66D7EC65"/>
    <w:rsid w:val="66DE4084"/>
    <w:rsid w:val="66DF3A96"/>
    <w:rsid w:val="66E1976A"/>
    <w:rsid w:val="66E911CF"/>
    <w:rsid w:val="66F44356"/>
    <w:rsid w:val="66FEE138"/>
    <w:rsid w:val="6705F55E"/>
    <w:rsid w:val="67092F9A"/>
    <w:rsid w:val="670B03E2"/>
    <w:rsid w:val="671E06FE"/>
    <w:rsid w:val="67257E83"/>
    <w:rsid w:val="672D4E1D"/>
    <w:rsid w:val="672D579D"/>
    <w:rsid w:val="673020C0"/>
    <w:rsid w:val="67334BEA"/>
    <w:rsid w:val="6741C8B3"/>
    <w:rsid w:val="674226E9"/>
    <w:rsid w:val="67444B08"/>
    <w:rsid w:val="674DF057"/>
    <w:rsid w:val="675404AB"/>
    <w:rsid w:val="67636DF9"/>
    <w:rsid w:val="67656D51"/>
    <w:rsid w:val="67689EBF"/>
    <w:rsid w:val="676B6CEE"/>
    <w:rsid w:val="6772CCB2"/>
    <w:rsid w:val="67769988"/>
    <w:rsid w:val="677C9D14"/>
    <w:rsid w:val="67892C93"/>
    <w:rsid w:val="6792C60A"/>
    <w:rsid w:val="67942842"/>
    <w:rsid w:val="67964E3E"/>
    <w:rsid w:val="67A70F43"/>
    <w:rsid w:val="67AAFBE5"/>
    <w:rsid w:val="67ADA612"/>
    <w:rsid w:val="67BA7B31"/>
    <w:rsid w:val="67BFD1A9"/>
    <w:rsid w:val="67C41259"/>
    <w:rsid w:val="67C48EDB"/>
    <w:rsid w:val="67C538A7"/>
    <w:rsid w:val="67DABBEE"/>
    <w:rsid w:val="67E4A110"/>
    <w:rsid w:val="67EA5B71"/>
    <w:rsid w:val="67EA9BF1"/>
    <w:rsid w:val="67F5252D"/>
    <w:rsid w:val="68017FED"/>
    <w:rsid w:val="680BCA58"/>
    <w:rsid w:val="680CB583"/>
    <w:rsid w:val="68122EDC"/>
    <w:rsid w:val="681A0A9B"/>
    <w:rsid w:val="681A97E3"/>
    <w:rsid w:val="681CFE01"/>
    <w:rsid w:val="681F1ADF"/>
    <w:rsid w:val="682280A4"/>
    <w:rsid w:val="684676DC"/>
    <w:rsid w:val="684C95D4"/>
    <w:rsid w:val="684FB9FB"/>
    <w:rsid w:val="6860970C"/>
    <w:rsid w:val="68697D9A"/>
    <w:rsid w:val="68761022"/>
    <w:rsid w:val="687E7F55"/>
    <w:rsid w:val="68831B9E"/>
    <w:rsid w:val="6887CF15"/>
    <w:rsid w:val="688E3052"/>
    <w:rsid w:val="6895B836"/>
    <w:rsid w:val="689828E0"/>
    <w:rsid w:val="689F2D61"/>
    <w:rsid w:val="68A18B41"/>
    <w:rsid w:val="68A30E35"/>
    <w:rsid w:val="68AB03EC"/>
    <w:rsid w:val="68BCE825"/>
    <w:rsid w:val="68C14EE4"/>
    <w:rsid w:val="68C78AF6"/>
    <w:rsid w:val="68CE4DE2"/>
    <w:rsid w:val="68DA169E"/>
    <w:rsid w:val="68E861A6"/>
    <w:rsid w:val="68F01275"/>
    <w:rsid w:val="68F70948"/>
    <w:rsid w:val="6902ECB7"/>
    <w:rsid w:val="69069844"/>
    <w:rsid w:val="69231D10"/>
    <w:rsid w:val="6925683D"/>
    <w:rsid w:val="6925D5FE"/>
    <w:rsid w:val="69277070"/>
    <w:rsid w:val="69290AD3"/>
    <w:rsid w:val="692EC841"/>
    <w:rsid w:val="693207B5"/>
    <w:rsid w:val="69387762"/>
    <w:rsid w:val="693A306A"/>
    <w:rsid w:val="693D833B"/>
    <w:rsid w:val="693E8BA1"/>
    <w:rsid w:val="694CE410"/>
    <w:rsid w:val="69503199"/>
    <w:rsid w:val="69593340"/>
    <w:rsid w:val="697D2281"/>
    <w:rsid w:val="697F6D88"/>
    <w:rsid w:val="69896035"/>
    <w:rsid w:val="69936E8C"/>
    <w:rsid w:val="69A716A1"/>
    <w:rsid w:val="69B37B5C"/>
    <w:rsid w:val="69B492D2"/>
    <w:rsid w:val="69BA8668"/>
    <w:rsid w:val="69BD770B"/>
    <w:rsid w:val="69CBF699"/>
    <w:rsid w:val="69CD74FE"/>
    <w:rsid w:val="69D4D5D0"/>
    <w:rsid w:val="69D69C36"/>
    <w:rsid w:val="69D80624"/>
    <w:rsid w:val="69DDF919"/>
    <w:rsid w:val="69E15D83"/>
    <w:rsid w:val="69E70B2B"/>
    <w:rsid w:val="69E70E8B"/>
    <w:rsid w:val="69EA591D"/>
    <w:rsid w:val="69F0865D"/>
    <w:rsid w:val="69F274F6"/>
    <w:rsid w:val="69F69469"/>
    <w:rsid w:val="6A16B324"/>
    <w:rsid w:val="6A19C5A1"/>
    <w:rsid w:val="6A2CFC97"/>
    <w:rsid w:val="6A3698D1"/>
    <w:rsid w:val="6A3E53D1"/>
    <w:rsid w:val="6A401798"/>
    <w:rsid w:val="6A4427A1"/>
    <w:rsid w:val="6A47DDB1"/>
    <w:rsid w:val="6A4B8DEB"/>
    <w:rsid w:val="6A4D68D4"/>
    <w:rsid w:val="6A4D7D5C"/>
    <w:rsid w:val="6A4FEB5B"/>
    <w:rsid w:val="6A5D419A"/>
    <w:rsid w:val="6A69FDBC"/>
    <w:rsid w:val="6A6CAC27"/>
    <w:rsid w:val="6A6CDEF8"/>
    <w:rsid w:val="6A6EF7A2"/>
    <w:rsid w:val="6A7A510A"/>
    <w:rsid w:val="6A7DCAFC"/>
    <w:rsid w:val="6A802A53"/>
    <w:rsid w:val="6A82202D"/>
    <w:rsid w:val="6A8F6A1B"/>
    <w:rsid w:val="6A9D629D"/>
    <w:rsid w:val="6AA1387A"/>
    <w:rsid w:val="6AC8F377"/>
    <w:rsid w:val="6AC9CF54"/>
    <w:rsid w:val="6AD2AAEA"/>
    <w:rsid w:val="6AD67F4B"/>
    <w:rsid w:val="6AD96EFD"/>
    <w:rsid w:val="6ADEE24D"/>
    <w:rsid w:val="6AF2F510"/>
    <w:rsid w:val="6AF95B6C"/>
    <w:rsid w:val="6B00D235"/>
    <w:rsid w:val="6B0223EA"/>
    <w:rsid w:val="6B08160B"/>
    <w:rsid w:val="6B0DD11F"/>
    <w:rsid w:val="6B0FC5B3"/>
    <w:rsid w:val="6B0FD6DC"/>
    <w:rsid w:val="6B107CCA"/>
    <w:rsid w:val="6B1105CC"/>
    <w:rsid w:val="6B199825"/>
    <w:rsid w:val="6B1DFC70"/>
    <w:rsid w:val="6B1FEDDD"/>
    <w:rsid w:val="6B20584F"/>
    <w:rsid w:val="6B21A53B"/>
    <w:rsid w:val="6B282EA6"/>
    <w:rsid w:val="6B2F54DD"/>
    <w:rsid w:val="6B37054C"/>
    <w:rsid w:val="6B388937"/>
    <w:rsid w:val="6B3C4C80"/>
    <w:rsid w:val="6B4200F1"/>
    <w:rsid w:val="6B494347"/>
    <w:rsid w:val="6B4C5CAD"/>
    <w:rsid w:val="6B56EEF8"/>
    <w:rsid w:val="6B5E440B"/>
    <w:rsid w:val="6B67351E"/>
    <w:rsid w:val="6B6B7E67"/>
    <w:rsid w:val="6B76C72E"/>
    <w:rsid w:val="6B8E12A8"/>
    <w:rsid w:val="6B95227F"/>
    <w:rsid w:val="6BA83B16"/>
    <w:rsid w:val="6BA8AEF3"/>
    <w:rsid w:val="6BAC982A"/>
    <w:rsid w:val="6BB2E40C"/>
    <w:rsid w:val="6BB4636C"/>
    <w:rsid w:val="6BCA9F05"/>
    <w:rsid w:val="6BCEDD38"/>
    <w:rsid w:val="6BDC9C5A"/>
    <w:rsid w:val="6BF010BF"/>
    <w:rsid w:val="6BF364FF"/>
    <w:rsid w:val="6BF75F7D"/>
    <w:rsid w:val="6BF85538"/>
    <w:rsid w:val="6BFD35FE"/>
    <w:rsid w:val="6BFFE058"/>
    <w:rsid w:val="6C04755B"/>
    <w:rsid w:val="6C15623C"/>
    <w:rsid w:val="6C194484"/>
    <w:rsid w:val="6C1F77E3"/>
    <w:rsid w:val="6C20DA9C"/>
    <w:rsid w:val="6C3139E3"/>
    <w:rsid w:val="6C323A0C"/>
    <w:rsid w:val="6C3BBD48"/>
    <w:rsid w:val="6C3D1BE6"/>
    <w:rsid w:val="6C46830B"/>
    <w:rsid w:val="6C562066"/>
    <w:rsid w:val="6C5911FC"/>
    <w:rsid w:val="6C611898"/>
    <w:rsid w:val="6C68C6E3"/>
    <w:rsid w:val="6C719726"/>
    <w:rsid w:val="6C721F25"/>
    <w:rsid w:val="6C74206E"/>
    <w:rsid w:val="6C83F43D"/>
    <w:rsid w:val="6C901763"/>
    <w:rsid w:val="6C906D69"/>
    <w:rsid w:val="6C9928FC"/>
    <w:rsid w:val="6C9B1EDF"/>
    <w:rsid w:val="6CB2832F"/>
    <w:rsid w:val="6CB58EDA"/>
    <w:rsid w:val="6CB872C0"/>
    <w:rsid w:val="6CBBA942"/>
    <w:rsid w:val="6CBF4B68"/>
    <w:rsid w:val="6CC534CA"/>
    <w:rsid w:val="6CCAEEB7"/>
    <w:rsid w:val="6CCB6A73"/>
    <w:rsid w:val="6CCFC70C"/>
    <w:rsid w:val="6CE4F2E4"/>
    <w:rsid w:val="6CE64DB9"/>
    <w:rsid w:val="6CEB0676"/>
    <w:rsid w:val="6CEB77E2"/>
    <w:rsid w:val="6CED654B"/>
    <w:rsid w:val="6CF07AAF"/>
    <w:rsid w:val="6CF0C148"/>
    <w:rsid w:val="6D0F738B"/>
    <w:rsid w:val="6D11E1F5"/>
    <w:rsid w:val="6D16D8BB"/>
    <w:rsid w:val="6D17E946"/>
    <w:rsid w:val="6D21317D"/>
    <w:rsid w:val="6D2D9DB3"/>
    <w:rsid w:val="6D302374"/>
    <w:rsid w:val="6D36DF8C"/>
    <w:rsid w:val="6D381AEF"/>
    <w:rsid w:val="6D3BF39A"/>
    <w:rsid w:val="6D42609E"/>
    <w:rsid w:val="6D465F98"/>
    <w:rsid w:val="6D51493E"/>
    <w:rsid w:val="6D51A291"/>
    <w:rsid w:val="6D57042D"/>
    <w:rsid w:val="6D5891D1"/>
    <w:rsid w:val="6D6430FA"/>
    <w:rsid w:val="6D766946"/>
    <w:rsid w:val="6D7A80AF"/>
    <w:rsid w:val="6D88164C"/>
    <w:rsid w:val="6D963940"/>
    <w:rsid w:val="6DBAF596"/>
    <w:rsid w:val="6DBFB4CF"/>
    <w:rsid w:val="6DC14056"/>
    <w:rsid w:val="6DC25B0F"/>
    <w:rsid w:val="6DC4372D"/>
    <w:rsid w:val="6DC9C087"/>
    <w:rsid w:val="6DCC427B"/>
    <w:rsid w:val="6DD98890"/>
    <w:rsid w:val="6DDD1365"/>
    <w:rsid w:val="6DDE4C3F"/>
    <w:rsid w:val="6DE0EFA6"/>
    <w:rsid w:val="6DE0FB42"/>
    <w:rsid w:val="6DE3975F"/>
    <w:rsid w:val="6DE4A97C"/>
    <w:rsid w:val="6DF00C50"/>
    <w:rsid w:val="6DF15D9E"/>
    <w:rsid w:val="6DF8E738"/>
    <w:rsid w:val="6DF9CEFF"/>
    <w:rsid w:val="6DFDDAFD"/>
    <w:rsid w:val="6E08349E"/>
    <w:rsid w:val="6E085BE3"/>
    <w:rsid w:val="6E1097A8"/>
    <w:rsid w:val="6E1884AF"/>
    <w:rsid w:val="6E1F0EFC"/>
    <w:rsid w:val="6E232489"/>
    <w:rsid w:val="6E2692BD"/>
    <w:rsid w:val="6E2CC435"/>
    <w:rsid w:val="6E3194C1"/>
    <w:rsid w:val="6E3AEF7C"/>
    <w:rsid w:val="6E3C03CB"/>
    <w:rsid w:val="6E3DBB92"/>
    <w:rsid w:val="6E3F1F55"/>
    <w:rsid w:val="6E3FDB40"/>
    <w:rsid w:val="6E415981"/>
    <w:rsid w:val="6E46F6AD"/>
    <w:rsid w:val="6E4CDF6A"/>
    <w:rsid w:val="6E62F64F"/>
    <w:rsid w:val="6E6FC201"/>
    <w:rsid w:val="6E74134A"/>
    <w:rsid w:val="6E848A50"/>
    <w:rsid w:val="6E882A9A"/>
    <w:rsid w:val="6E882D9B"/>
    <w:rsid w:val="6E946121"/>
    <w:rsid w:val="6EAE7784"/>
    <w:rsid w:val="6EB9FAF1"/>
    <w:rsid w:val="6EC19B52"/>
    <w:rsid w:val="6ECD9F6F"/>
    <w:rsid w:val="6ECE28D9"/>
    <w:rsid w:val="6ECFC114"/>
    <w:rsid w:val="6EDA35E1"/>
    <w:rsid w:val="6EDFE513"/>
    <w:rsid w:val="6EE389CD"/>
    <w:rsid w:val="6EED047F"/>
    <w:rsid w:val="6EF39E77"/>
    <w:rsid w:val="6EF3B91B"/>
    <w:rsid w:val="6EF9E506"/>
    <w:rsid w:val="6EFDE8E2"/>
    <w:rsid w:val="6F179514"/>
    <w:rsid w:val="6F1ABFC3"/>
    <w:rsid w:val="6F2EB3A0"/>
    <w:rsid w:val="6F3433C5"/>
    <w:rsid w:val="6F363363"/>
    <w:rsid w:val="6F3D658E"/>
    <w:rsid w:val="6F46534C"/>
    <w:rsid w:val="6F4ACA2A"/>
    <w:rsid w:val="6F4D8E0A"/>
    <w:rsid w:val="6F526692"/>
    <w:rsid w:val="6F626122"/>
    <w:rsid w:val="6F67FFF0"/>
    <w:rsid w:val="6F6AC8B2"/>
    <w:rsid w:val="6F6D2C43"/>
    <w:rsid w:val="6F8312F9"/>
    <w:rsid w:val="6F842285"/>
    <w:rsid w:val="6F84446D"/>
    <w:rsid w:val="6F8CA069"/>
    <w:rsid w:val="6F8F5EA4"/>
    <w:rsid w:val="6F9AF02C"/>
    <w:rsid w:val="6F9B0EA7"/>
    <w:rsid w:val="6FA307E5"/>
    <w:rsid w:val="6FA95ACF"/>
    <w:rsid w:val="6FAD6301"/>
    <w:rsid w:val="6FBC98CF"/>
    <w:rsid w:val="6FC4FBF3"/>
    <w:rsid w:val="6FC74E33"/>
    <w:rsid w:val="6FD653AC"/>
    <w:rsid w:val="6FD78759"/>
    <w:rsid w:val="6FE5889D"/>
    <w:rsid w:val="6FE74F05"/>
    <w:rsid w:val="6FE76E79"/>
    <w:rsid w:val="6FEF0EE3"/>
    <w:rsid w:val="6FFDACB5"/>
    <w:rsid w:val="70001D67"/>
    <w:rsid w:val="70072CD7"/>
    <w:rsid w:val="700C276E"/>
    <w:rsid w:val="7015EB66"/>
    <w:rsid w:val="7016298C"/>
    <w:rsid w:val="701A2755"/>
    <w:rsid w:val="7027DB96"/>
    <w:rsid w:val="702A2D4A"/>
    <w:rsid w:val="703240F3"/>
    <w:rsid w:val="70327002"/>
    <w:rsid w:val="70332B85"/>
    <w:rsid w:val="7038DFAF"/>
    <w:rsid w:val="703A8AC0"/>
    <w:rsid w:val="7040764D"/>
    <w:rsid w:val="704F8A8E"/>
    <w:rsid w:val="706308CE"/>
    <w:rsid w:val="7064134B"/>
    <w:rsid w:val="706496B3"/>
    <w:rsid w:val="706706AF"/>
    <w:rsid w:val="706E8E93"/>
    <w:rsid w:val="706F570A"/>
    <w:rsid w:val="707173D2"/>
    <w:rsid w:val="7073945C"/>
    <w:rsid w:val="7074CED3"/>
    <w:rsid w:val="7078F69D"/>
    <w:rsid w:val="707942C0"/>
    <w:rsid w:val="707AAE9C"/>
    <w:rsid w:val="707E9517"/>
    <w:rsid w:val="707F6642"/>
    <w:rsid w:val="7084284E"/>
    <w:rsid w:val="708593F1"/>
    <w:rsid w:val="70996D47"/>
    <w:rsid w:val="70A5F41F"/>
    <w:rsid w:val="70AAE8FC"/>
    <w:rsid w:val="70ADD6AB"/>
    <w:rsid w:val="70AF7FD1"/>
    <w:rsid w:val="70B3386C"/>
    <w:rsid w:val="70BE8A3B"/>
    <w:rsid w:val="70CB1FB6"/>
    <w:rsid w:val="70D14C61"/>
    <w:rsid w:val="70EC3AC1"/>
    <w:rsid w:val="70F5AA99"/>
    <w:rsid w:val="70F61CBF"/>
    <w:rsid w:val="70F78472"/>
    <w:rsid w:val="70FEFC2D"/>
    <w:rsid w:val="7102074E"/>
    <w:rsid w:val="7104F019"/>
    <w:rsid w:val="7106700D"/>
    <w:rsid w:val="71069AFB"/>
    <w:rsid w:val="7112B666"/>
    <w:rsid w:val="7117B227"/>
    <w:rsid w:val="711CD10E"/>
    <w:rsid w:val="71224D91"/>
    <w:rsid w:val="712488B5"/>
    <w:rsid w:val="7125DE9A"/>
    <w:rsid w:val="7126426A"/>
    <w:rsid w:val="7126E5F6"/>
    <w:rsid w:val="713D1387"/>
    <w:rsid w:val="7145587C"/>
    <w:rsid w:val="714B11E1"/>
    <w:rsid w:val="715A7793"/>
    <w:rsid w:val="715A94FF"/>
    <w:rsid w:val="71661557"/>
    <w:rsid w:val="716A1C98"/>
    <w:rsid w:val="716A3360"/>
    <w:rsid w:val="7176289F"/>
    <w:rsid w:val="717FE560"/>
    <w:rsid w:val="71887547"/>
    <w:rsid w:val="7191B988"/>
    <w:rsid w:val="71A1A9C1"/>
    <w:rsid w:val="71A3DEE2"/>
    <w:rsid w:val="71A4111A"/>
    <w:rsid w:val="71BB26D9"/>
    <w:rsid w:val="71C24C79"/>
    <w:rsid w:val="71D27F96"/>
    <w:rsid w:val="71D3C8CD"/>
    <w:rsid w:val="71D8A035"/>
    <w:rsid w:val="71DB3A16"/>
    <w:rsid w:val="71DCAFFB"/>
    <w:rsid w:val="71E3F818"/>
    <w:rsid w:val="71E5DBD3"/>
    <w:rsid w:val="71F060DF"/>
    <w:rsid w:val="71F986F2"/>
    <w:rsid w:val="7203D272"/>
    <w:rsid w:val="7217D9C5"/>
    <w:rsid w:val="7220C8EA"/>
    <w:rsid w:val="722D7176"/>
    <w:rsid w:val="722E48B0"/>
    <w:rsid w:val="723101B0"/>
    <w:rsid w:val="723AA23E"/>
    <w:rsid w:val="724544D1"/>
    <w:rsid w:val="72483AB6"/>
    <w:rsid w:val="7252DF63"/>
    <w:rsid w:val="7257C49A"/>
    <w:rsid w:val="7266BBF8"/>
    <w:rsid w:val="7267CE45"/>
    <w:rsid w:val="726A983A"/>
    <w:rsid w:val="726ADF88"/>
    <w:rsid w:val="726DF554"/>
    <w:rsid w:val="726EF700"/>
    <w:rsid w:val="72730347"/>
    <w:rsid w:val="727BFE15"/>
    <w:rsid w:val="727F382E"/>
    <w:rsid w:val="7281A3D0"/>
    <w:rsid w:val="72867C3A"/>
    <w:rsid w:val="7286D1A4"/>
    <w:rsid w:val="7295124E"/>
    <w:rsid w:val="72958ACE"/>
    <w:rsid w:val="72A7E01D"/>
    <w:rsid w:val="72BAEF8E"/>
    <w:rsid w:val="72C86C03"/>
    <w:rsid w:val="72CA3995"/>
    <w:rsid w:val="72D1634D"/>
    <w:rsid w:val="72D1D5DC"/>
    <w:rsid w:val="72D5533C"/>
    <w:rsid w:val="72DDE096"/>
    <w:rsid w:val="72E47CC1"/>
    <w:rsid w:val="72E87128"/>
    <w:rsid w:val="72EBD228"/>
    <w:rsid w:val="72EBFDF8"/>
    <w:rsid w:val="72ED8D38"/>
    <w:rsid w:val="73076E61"/>
    <w:rsid w:val="731CAB39"/>
    <w:rsid w:val="731F44B0"/>
    <w:rsid w:val="73215869"/>
    <w:rsid w:val="73264F19"/>
    <w:rsid w:val="7328A5BD"/>
    <w:rsid w:val="732F8802"/>
    <w:rsid w:val="733FE443"/>
    <w:rsid w:val="734B3AF2"/>
    <w:rsid w:val="734DF30D"/>
    <w:rsid w:val="7356A8FD"/>
    <w:rsid w:val="7357DC98"/>
    <w:rsid w:val="73655161"/>
    <w:rsid w:val="7367062D"/>
    <w:rsid w:val="73750C2B"/>
    <w:rsid w:val="73756A74"/>
    <w:rsid w:val="737FE8B8"/>
    <w:rsid w:val="738540D4"/>
    <w:rsid w:val="738AD24C"/>
    <w:rsid w:val="7396E0DF"/>
    <w:rsid w:val="7396E709"/>
    <w:rsid w:val="739E1491"/>
    <w:rsid w:val="73A03B75"/>
    <w:rsid w:val="73B3915A"/>
    <w:rsid w:val="73B6FAF0"/>
    <w:rsid w:val="73BC079C"/>
    <w:rsid w:val="73C97BD8"/>
    <w:rsid w:val="73CDBBCB"/>
    <w:rsid w:val="73D0E03F"/>
    <w:rsid w:val="73D8F5F9"/>
    <w:rsid w:val="73D94AC6"/>
    <w:rsid w:val="73DAB2E9"/>
    <w:rsid w:val="73E791AB"/>
    <w:rsid w:val="73EF06A6"/>
    <w:rsid w:val="73F7B22F"/>
    <w:rsid w:val="73FF1C4B"/>
    <w:rsid w:val="7401F5F5"/>
    <w:rsid w:val="74185021"/>
    <w:rsid w:val="74206457"/>
    <w:rsid w:val="7423440B"/>
    <w:rsid w:val="742805E7"/>
    <w:rsid w:val="742B84B0"/>
    <w:rsid w:val="7438B6BC"/>
    <w:rsid w:val="74406635"/>
    <w:rsid w:val="7440771F"/>
    <w:rsid w:val="7451CD01"/>
    <w:rsid w:val="7452D8E3"/>
    <w:rsid w:val="74569AB8"/>
    <w:rsid w:val="7459A1E7"/>
    <w:rsid w:val="745B47E3"/>
    <w:rsid w:val="745E16D4"/>
    <w:rsid w:val="74647161"/>
    <w:rsid w:val="746E90B1"/>
    <w:rsid w:val="747F3253"/>
    <w:rsid w:val="7480FC7C"/>
    <w:rsid w:val="7482CB34"/>
    <w:rsid w:val="7486B61A"/>
    <w:rsid w:val="7488750C"/>
    <w:rsid w:val="74904765"/>
    <w:rsid w:val="7499BD87"/>
    <w:rsid w:val="749AB83C"/>
    <w:rsid w:val="74A071A3"/>
    <w:rsid w:val="74A11D59"/>
    <w:rsid w:val="74A9ABA0"/>
    <w:rsid w:val="74B2547C"/>
    <w:rsid w:val="74B41AA7"/>
    <w:rsid w:val="74B7921F"/>
    <w:rsid w:val="74B86248"/>
    <w:rsid w:val="74B9C932"/>
    <w:rsid w:val="74BB6549"/>
    <w:rsid w:val="74CB41D0"/>
    <w:rsid w:val="74CE3879"/>
    <w:rsid w:val="74D69538"/>
    <w:rsid w:val="74DD7464"/>
    <w:rsid w:val="74E3DAED"/>
    <w:rsid w:val="74F75054"/>
    <w:rsid w:val="74FE2A9B"/>
    <w:rsid w:val="750ABACA"/>
    <w:rsid w:val="750F21C8"/>
    <w:rsid w:val="7513AC4F"/>
    <w:rsid w:val="7514767F"/>
    <w:rsid w:val="751938F9"/>
    <w:rsid w:val="751CECED"/>
    <w:rsid w:val="7523140B"/>
    <w:rsid w:val="752ED782"/>
    <w:rsid w:val="75387000"/>
    <w:rsid w:val="753D753A"/>
    <w:rsid w:val="7541427F"/>
    <w:rsid w:val="7541E0E6"/>
    <w:rsid w:val="7550118D"/>
    <w:rsid w:val="755308B7"/>
    <w:rsid w:val="755A40C7"/>
    <w:rsid w:val="756397DF"/>
    <w:rsid w:val="7564F83A"/>
    <w:rsid w:val="7565D3A0"/>
    <w:rsid w:val="756852CE"/>
    <w:rsid w:val="75779CC4"/>
    <w:rsid w:val="7582655B"/>
    <w:rsid w:val="7587A6CE"/>
    <w:rsid w:val="758F32ED"/>
    <w:rsid w:val="7595A051"/>
    <w:rsid w:val="75B01B17"/>
    <w:rsid w:val="75B5314C"/>
    <w:rsid w:val="75B690B6"/>
    <w:rsid w:val="75BA9E83"/>
    <w:rsid w:val="75BC6829"/>
    <w:rsid w:val="75BF2B39"/>
    <w:rsid w:val="75C42733"/>
    <w:rsid w:val="75C8CE76"/>
    <w:rsid w:val="75CA1AA4"/>
    <w:rsid w:val="75CE0A0C"/>
    <w:rsid w:val="75CE6983"/>
    <w:rsid w:val="75D0B76C"/>
    <w:rsid w:val="75D2E06B"/>
    <w:rsid w:val="75D813D6"/>
    <w:rsid w:val="75DAA10E"/>
    <w:rsid w:val="75E5AA9C"/>
    <w:rsid w:val="75E79D2F"/>
    <w:rsid w:val="75E8C6AC"/>
    <w:rsid w:val="75EDE618"/>
    <w:rsid w:val="75F306B4"/>
    <w:rsid w:val="75FA372D"/>
    <w:rsid w:val="760B1301"/>
    <w:rsid w:val="760C276D"/>
    <w:rsid w:val="760FB9B3"/>
    <w:rsid w:val="76179C2C"/>
    <w:rsid w:val="76199B57"/>
    <w:rsid w:val="761C216B"/>
    <w:rsid w:val="762733F2"/>
    <w:rsid w:val="762A474F"/>
    <w:rsid w:val="7634081D"/>
    <w:rsid w:val="7637AFDA"/>
    <w:rsid w:val="763B1F73"/>
    <w:rsid w:val="763DAF34"/>
    <w:rsid w:val="764B4848"/>
    <w:rsid w:val="7652991D"/>
    <w:rsid w:val="7653958E"/>
    <w:rsid w:val="7658BB98"/>
    <w:rsid w:val="766B752D"/>
    <w:rsid w:val="766BA7FE"/>
    <w:rsid w:val="7677205E"/>
    <w:rsid w:val="7677532F"/>
    <w:rsid w:val="767A3C6E"/>
    <w:rsid w:val="767A41AF"/>
    <w:rsid w:val="767D0261"/>
    <w:rsid w:val="768341BB"/>
    <w:rsid w:val="768663DD"/>
    <w:rsid w:val="768BC9F1"/>
    <w:rsid w:val="768F4C9C"/>
    <w:rsid w:val="7692A107"/>
    <w:rsid w:val="7693B344"/>
    <w:rsid w:val="7693CAC8"/>
    <w:rsid w:val="769CC8CD"/>
    <w:rsid w:val="76A07780"/>
    <w:rsid w:val="76A0B13A"/>
    <w:rsid w:val="76A14E7D"/>
    <w:rsid w:val="76AC9394"/>
    <w:rsid w:val="76B5871E"/>
    <w:rsid w:val="76C57031"/>
    <w:rsid w:val="76C90392"/>
    <w:rsid w:val="76CC1BD5"/>
    <w:rsid w:val="76CEEC50"/>
    <w:rsid w:val="76CF20C2"/>
    <w:rsid w:val="76D9D5B9"/>
    <w:rsid w:val="76E4F774"/>
    <w:rsid w:val="76E75134"/>
    <w:rsid w:val="76F23E5A"/>
    <w:rsid w:val="770EFEDE"/>
    <w:rsid w:val="77135EAE"/>
    <w:rsid w:val="7717A227"/>
    <w:rsid w:val="771BDBC7"/>
    <w:rsid w:val="77336F80"/>
    <w:rsid w:val="77377470"/>
    <w:rsid w:val="77399183"/>
    <w:rsid w:val="773EFA34"/>
    <w:rsid w:val="7741E1DE"/>
    <w:rsid w:val="7754311A"/>
    <w:rsid w:val="7754B282"/>
    <w:rsid w:val="775AC40A"/>
    <w:rsid w:val="7765710F"/>
    <w:rsid w:val="77703856"/>
    <w:rsid w:val="77767CB5"/>
    <w:rsid w:val="777A2A47"/>
    <w:rsid w:val="779BB47C"/>
    <w:rsid w:val="779BDCE2"/>
    <w:rsid w:val="779C3DF2"/>
    <w:rsid w:val="77A0A38B"/>
    <w:rsid w:val="77AE78D8"/>
    <w:rsid w:val="77B5CEFB"/>
    <w:rsid w:val="77D7481C"/>
    <w:rsid w:val="77D9D005"/>
    <w:rsid w:val="77E1A8A4"/>
    <w:rsid w:val="77E6FB27"/>
    <w:rsid w:val="77E832C0"/>
    <w:rsid w:val="77E9EEB0"/>
    <w:rsid w:val="77EB3057"/>
    <w:rsid w:val="77F7651B"/>
    <w:rsid w:val="77FBE668"/>
    <w:rsid w:val="780C779A"/>
    <w:rsid w:val="7813E61D"/>
    <w:rsid w:val="7817ADC9"/>
    <w:rsid w:val="78190C48"/>
    <w:rsid w:val="781A8726"/>
    <w:rsid w:val="781E2742"/>
    <w:rsid w:val="78209288"/>
    <w:rsid w:val="78210468"/>
    <w:rsid w:val="7828CA2D"/>
    <w:rsid w:val="782C8A2D"/>
    <w:rsid w:val="7831097A"/>
    <w:rsid w:val="783A326E"/>
    <w:rsid w:val="78430334"/>
    <w:rsid w:val="784D0CB8"/>
    <w:rsid w:val="784EE474"/>
    <w:rsid w:val="7850F742"/>
    <w:rsid w:val="7856DE56"/>
    <w:rsid w:val="785B15DB"/>
    <w:rsid w:val="786F2F7C"/>
    <w:rsid w:val="7870F03B"/>
    <w:rsid w:val="78724993"/>
    <w:rsid w:val="7876EC07"/>
    <w:rsid w:val="787B382F"/>
    <w:rsid w:val="7891353E"/>
    <w:rsid w:val="789CD265"/>
    <w:rsid w:val="78BBEBB6"/>
    <w:rsid w:val="78C46AB3"/>
    <w:rsid w:val="78CCEA2B"/>
    <w:rsid w:val="78D2AF13"/>
    <w:rsid w:val="78D8D1CA"/>
    <w:rsid w:val="78D9305F"/>
    <w:rsid w:val="78DEFA34"/>
    <w:rsid w:val="78E56BF9"/>
    <w:rsid w:val="78E73279"/>
    <w:rsid w:val="78E81C1B"/>
    <w:rsid w:val="7903BF55"/>
    <w:rsid w:val="7906E359"/>
    <w:rsid w:val="790A3CE3"/>
    <w:rsid w:val="790FE3B9"/>
    <w:rsid w:val="7918FDA9"/>
    <w:rsid w:val="791A3A0D"/>
    <w:rsid w:val="791E2012"/>
    <w:rsid w:val="7923A4AB"/>
    <w:rsid w:val="79269410"/>
    <w:rsid w:val="79285F8C"/>
    <w:rsid w:val="792E3D19"/>
    <w:rsid w:val="7936A8D1"/>
    <w:rsid w:val="79483E3D"/>
    <w:rsid w:val="794C3D2F"/>
    <w:rsid w:val="794CAE8F"/>
    <w:rsid w:val="795CFB54"/>
    <w:rsid w:val="7962CFA3"/>
    <w:rsid w:val="79689F21"/>
    <w:rsid w:val="796DDAD6"/>
    <w:rsid w:val="7975B3C6"/>
    <w:rsid w:val="797D08D9"/>
    <w:rsid w:val="79852174"/>
    <w:rsid w:val="79855EE3"/>
    <w:rsid w:val="7990AC51"/>
    <w:rsid w:val="79966B75"/>
    <w:rsid w:val="79A3F659"/>
    <w:rsid w:val="79A4E639"/>
    <w:rsid w:val="79A8E0A7"/>
    <w:rsid w:val="79AE5EF8"/>
    <w:rsid w:val="79AFA21A"/>
    <w:rsid w:val="79D644FA"/>
    <w:rsid w:val="79E14E48"/>
    <w:rsid w:val="79E51B73"/>
    <w:rsid w:val="79EACF74"/>
    <w:rsid w:val="79EE1141"/>
    <w:rsid w:val="79F47DC9"/>
    <w:rsid w:val="79F5764D"/>
    <w:rsid w:val="79F666B0"/>
    <w:rsid w:val="7A06F450"/>
    <w:rsid w:val="7A15C071"/>
    <w:rsid w:val="7A15D3AE"/>
    <w:rsid w:val="7A19333C"/>
    <w:rsid w:val="7A1A0369"/>
    <w:rsid w:val="7A21B89D"/>
    <w:rsid w:val="7A26B52E"/>
    <w:rsid w:val="7A32E4BA"/>
    <w:rsid w:val="7A3334CD"/>
    <w:rsid w:val="7A341CC2"/>
    <w:rsid w:val="7A3609CD"/>
    <w:rsid w:val="7A362299"/>
    <w:rsid w:val="7A3847D3"/>
    <w:rsid w:val="7A3EC3E1"/>
    <w:rsid w:val="7A48F84E"/>
    <w:rsid w:val="7A5D1200"/>
    <w:rsid w:val="7A620ACB"/>
    <w:rsid w:val="7A6746C5"/>
    <w:rsid w:val="7A6BC00F"/>
    <w:rsid w:val="7A71F157"/>
    <w:rsid w:val="7A7DBA67"/>
    <w:rsid w:val="7A83DFA0"/>
    <w:rsid w:val="7A87AE5D"/>
    <w:rsid w:val="7A87D2FC"/>
    <w:rsid w:val="7A925EDD"/>
    <w:rsid w:val="7A988DAE"/>
    <w:rsid w:val="7A999EBA"/>
    <w:rsid w:val="7AA53852"/>
    <w:rsid w:val="7AA6D390"/>
    <w:rsid w:val="7AAEC72C"/>
    <w:rsid w:val="7AB4EDEB"/>
    <w:rsid w:val="7AB6FCC9"/>
    <w:rsid w:val="7ABF42DD"/>
    <w:rsid w:val="7AC4F6EE"/>
    <w:rsid w:val="7AC793C2"/>
    <w:rsid w:val="7AC8CE09"/>
    <w:rsid w:val="7ACA07ED"/>
    <w:rsid w:val="7ACB6923"/>
    <w:rsid w:val="7ACD4421"/>
    <w:rsid w:val="7AD06B7F"/>
    <w:rsid w:val="7ADAAD94"/>
    <w:rsid w:val="7AFE457F"/>
    <w:rsid w:val="7B0D0B81"/>
    <w:rsid w:val="7B1095F1"/>
    <w:rsid w:val="7B165AAD"/>
    <w:rsid w:val="7B1BEE03"/>
    <w:rsid w:val="7B2A2EB5"/>
    <w:rsid w:val="7B2CC874"/>
    <w:rsid w:val="7B3647C3"/>
    <w:rsid w:val="7B3F7000"/>
    <w:rsid w:val="7B43099D"/>
    <w:rsid w:val="7B49B083"/>
    <w:rsid w:val="7B59B156"/>
    <w:rsid w:val="7B5A4B59"/>
    <w:rsid w:val="7B5AEC79"/>
    <w:rsid w:val="7B5D3CF6"/>
    <w:rsid w:val="7B607F0D"/>
    <w:rsid w:val="7B682982"/>
    <w:rsid w:val="7B6B9B4B"/>
    <w:rsid w:val="7B72AF1B"/>
    <w:rsid w:val="7B74DA2A"/>
    <w:rsid w:val="7B75B4B4"/>
    <w:rsid w:val="7B7E3FA3"/>
    <w:rsid w:val="7B82CFD1"/>
    <w:rsid w:val="7B8730F6"/>
    <w:rsid w:val="7B8A7E2F"/>
    <w:rsid w:val="7B8EA497"/>
    <w:rsid w:val="7B915970"/>
    <w:rsid w:val="7B95F9AA"/>
    <w:rsid w:val="7BA9F3A2"/>
    <w:rsid w:val="7BB5084E"/>
    <w:rsid w:val="7BB81A1E"/>
    <w:rsid w:val="7BBAB9C4"/>
    <w:rsid w:val="7BBBEED3"/>
    <w:rsid w:val="7BD28D13"/>
    <w:rsid w:val="7BD71C27"/>
    <w:rsid w:val="7BD776FC"/>
    <w:rsid w:val="7BE24EDF"/>
    <w:rsid w:val="7BE794EE"/>
    <w:rsid w:val="7BE95E38"/>
    <w:rsid w:val="7BEA7C22"/>
    <w:rsid w:val="7BF9B238"/>
    <w:rsid w:val="7BFEC113"/>
    <w:rsid w:val="7BFEFC0F"/>
    <w:rsid w:val="7C0B518F"/>
    <w:rsid w:val="7C0CBB9E"/>
    <w:rsid w:val="7C13C5B5"/>
    <w:rsid w:val="7C15176D"/>
    <w:rsid w:val="7C1BFE37"/>
    <w:rsid w:val="7C24B50B"/>
    <w:rsid w:val="7C2D449E"/>
    <w:rsid w:val="7C2D5424"/>
    <w:rsid w:val="7C2E4784"/>
    <w:rsid w:val="7C3313DC"/>
    <w:rsid w:val="7C396161"/>
    <w:rsid w:val="7C40EAC6"/>
    <w:rsid w:val="7C4B401A"/>
    <w:rsid w:val="7C5065FE"/>
    <w:rsid w:val="7C5B77E5"/>
    <w:rsid w:val="7C6720E7"/>
    <w:rsid w:val="7C67FEE4"/>
    <w:rsid w:val="7C6AB429"/>
    <w:rsid w:val="7C6D0815"/>
    <w:rsid w:val="7C6F057E"/>
    <w:rsid w:val="7C72B18C"/>
    <w:rsid w:val="7C848D32"/>
    <w:rsid w:val="7C86F0B4"/>
    <w:rsid w:val="7C8975D2"/>
    <w:rsid w:val="7C8991F2"/>
    <w:rsid w:val="7C8F9D27"/>
    <w:rsid w:val="7C90146C"/>
    <w:rsid w:val="7C967C80"/>
    <w:rsid w:val="7C96C952"/>
    <w:rsid w:val="7C97001A"/>
    <w:rsid w:val="7C9776F0"/>
    <w:rsid w:val="7C9A069A"/>
    <w:rsid w:val="7CA71F49"/>
    <w:rsid w:val="7CB90A51"/>
    <w:rsid w:val="7CC1DAA1"/>
    <w:rsid w:val="7CC29808"/>
    <w:rsid w:val="7CCAAE2E"/>
    <w:rsid w:val="7CCB4834"/>
    <w:rsid w:val="7CCE6CC1"/>
    <w:rsid w:val="7CD06793"/>
    <w:rsid w:val="7CD083F1"/>
    <w:rsid w:val="7CDC4E6F"/>
    <w:rsid w:val="7CE02D54"/>
    <w:rsid w:val="7CE9E5EA"/>
    <w:rsid w:val="7CEB2A0C"/>
    <w:rsid w:val="7CEF380B"/>
    <w:rsid w:val="7CEFD95F"/>
    <w:rsid w:val="7CF314C5"/>
    <w:rsid w:val="7D012A40"/>
    <w:rsid w:val="7D09C715"/>
    <w:rsid w:val="7D0E3FF8"/>
    <w:rsid w:val="7D0E43E5"/>
    <w:rsid w:val="7D0F5B94"/>
    <w:rsid w:val="7D106CD9"/>
    <w:rsid w:val="7D168597"/>
    <w:rsid w:val="7D1EF955"/>
    <w:rsid w:val="7D260694"/>
    <w:rsid w:val="7D279A84"/>
    <w:rsid w:val="7D2EA53B"/>
    <w:rsid w:val="7D33DE2F"/>
    <w:rsid w:val="7D372F06"/>
    <w:rsid w:val="7D3B8A60"/>
    <w:rsid w:val="7D3D9D2C"/>
    <w:rsid w:val="7D407FBC"/>
    <w:rsid w:val="7D41D565"/>
    <w:rsid w:val="7D49AB32"/>
    <w:rsid w:val="7D5336E7"/>
    <w:rsid w:val="7D60019D"/>
    <w:rsid w:val="7D635B14"/>
    <w:rsid w:val="7D63FAD9"/>
    <w:rsid w:val="7D6470E2"/>
    <w:rsid w:val="7D678F00"/>
    <w:rsid w:val="7D6E13E1"/>
    <w:rsid w:val="7D7664A3"/>
    <w:rsid w:val="7D7C9AC7"/>
    <w:rsid w:val="7D801FCF"/>
    <w:rsid w:val="7D82AEA9"/>
    <w:rsid w:val="7D82F0E7"/>
    <w:rsid w:val="7D90266E"/>
    <w:rsid w:val="7D93C353"/>
    <w:rsid w:val="7D941F62"/>
    <w:rsid w:val="7D9A234E"/>
    <w:rsid w:val="7D9C83F4"/>
    <w:rsid w:val="7DA3CEB7"/>
    <w:rsid w:val="7DA4B853"/>
    <w:rsid w:val="7DA70A5C"/>
    <w:rsid w:val="7DADD616"/>
    <w:rsid w:val="7DB781E7"/>
    <w:rsid w:val="7DC4391B"/>
    <w:rsid w:val="7DC45F2F"/>
    <w:rsid w:val="7DC93A88"/>
    <w:rsid w:val="7DD4E7CD"/>
    <w:rsid w:val="7DE17313"/>
    <w:rsid w:val="7DE8C102"/>
    <w:rsid w:val="7DE9AECB"/>
    <w:rsid w:val="7DEBAEE6"/>
    <w:rsid w:val="7DF02509"/>
    <w:rsid w:val="7DF7F52F"/>
    <w:rsid w:val="7DFA90AC"/>
    <w:rsid w:val="7E079E92"/>
    <w:rsid w:val="7E0F3E32"/>
    <w:rsid w:val="7E110DDB"/>
    <w:rsid w:val="7E16F298"/>
    <w:rsid w:val="7E1860BF"/>
    <w:rsid w:val="7E18F9E4"/>
    <w:rsid w:val="7E1B313A"/>
    <w:rsid w:val="7E3DA3B2"/>
    <w:rsid w:val="7E4F72B2"/>
    <w:rsid w:val="7E51C6BB"/>
    <w:rsid w:val="7E555BB9"/>
    <w:rsid w:val="7E577816"/>
    <w:rsid w:val="7E7184D4"/>
    <w:rsid w:val="7E729DCB"/>
    <w:rsid w:val="7E72D272"/>
    <w:rsid w:val="7E77838A"/>
    <w:rsid w:val="7E78A379"/>
    <w:rsid w:val="7E836D6A"/>
    <w:rsid w:val="7E9C8BA4"/>
    <w:rsid w:val="7EA00572"/>
    <w:rsid w:val="7EACD23E"/>
    <w:rsid w:val="7EAD215F"/>
    <w:rsid w:val="7EAE2F24"/>
    <w:rsid w:val="7EB441F8"/>
    <w:rsid w:val="7EBC04E7"/>
    <w:rsid w:val="7EC7BFC3"/>
    <w:rsid w:val="7EC8D23E"/>
    <w:rsid w:val="7ECB5E04"/>
    <w:rsid w:val="7ECFEA9E"/>
    <w:rsid w:val="7ED13A5C"/>
    <w:rsid w:val="7EDF4403"/>
    <w:rsid w:val="7EEED649"/>
    <w:rsid w:val="7EEF2B0A"/>
    <w:rsid w:val="7F0B55D8"/>
    <w:rsid w:val="7F0DA5F6"/>
    <w:rsid w:val="7F167E65"/>
    <w:rsid w:val="7F1F5254"/>
    <w:rsid w:val="7F360559"/>
    <w:rsid w:val="7F38862B"/>
    <w:rsid w:val="7F3D1B84"/>
    <w:rsid w:val="7F3E080F"/>
    <w:rsid w:val="7F436911"/>
    <w:rsid w:val="7F4E8D4C"/>
    <w:rsid w:val="7F58853A"/>
    <w:rsid w:val="7F6583AD"/>
    <w:rsid w:val="7F6C2FDE"/>
    <w:rsid w:val="7F6D10E9"/>
    <w:rsid w:val="7F724CE7"/>
    <w:rsid w:val="7F7C1223"/>
    <w:rsid w:val="7F80992A"/>
    <w:rsid w:val="7F839F7C"/>
    <w:rsid w:val="7F8C15D6"/>
    <w:rsid w:val="7F8D7D03"/>
    <w:rsid w:val="7F928D7E"/>
    <w:rsid w:val="7FA5EA55"/>
    <w:rsid w:val="7FAED7DA"/>
    <w:rsid w:val="7FB5ED21"/>
    <w:rsid w:val="7FB80138"/>
    <w:rsid w:val="7FBBA0C4"/>
    <w:rsid w:val="7FC835DE"/>
    <w:rsid w:val="7FD3F4B2"/>
    <w:rsid w:val="7FEA9DE6"/>
    <w:rsid w:val="7FEE3F95"/>
    <w:rsid w:val="7FF3B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0642E"/>
  <w15:chartTrackingRefBased/>
  <w15:docId w15:val="{042FD7DA-3252-4220-9263-2C847F95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3CE"/>
    <w:pPr>
      <w:spacing w:before="120" w:after="120" w:line="264" w:lineRule="auto"/>
    </w:pPr>
    <w:rPr>
      <w:rFonts w:cs="Times New Roman"/>
      <w:color w:val="141414" w:themeColor="text1" w:themeShade="80"/>
      <w:sz w:val="21"/>
      <w:szCs w:val="21"/>
    </w:rPr>
  </w:style>
  <w:style w:type="paragraph" w:styleId="Heading1">
    <w:name w:val="heading 1"/>
    <w:basedOn w:val="Normal"/>
    <w:next w:val="Normal"/>
    <w:link w:val="Heading1Char"/>
    <w:uiPriority w:val="9"/>
    <w:qFormat/>
    <w:rsid w:val="00412914"/>
    <w:pPr>
      <w:pageBreakBefore/>
      <w:pBdr>
        <w:bottom w:val="single" w:sz="48" w:space="1" w:color="EDEEEF" w:themeColor="background2"/>
      </w:pBdr>
      <w:spacing w:before="0" w:after="0" w:line="269" w:lineRule="auto"/>
      <w:ind w:left="216" w:hanging="216"/>
      <w:contextualSpacing/>
      <w:outlineLvl w:val="0"/>
    </w:pPr>
    <w:rPr>
      <w:rFonts w:asciiTheme="majorHAnsi" w:eastAsia="Calibri" w:hAnsiTheme="majorHAnsi" w:cs="Arial"/>
      <w:b/>
      <w:color w:val="20546B" w:themeColor="text2"/>
      <w:sz w:val="44"/>
      <w:szCs w:val="44"/>
    </w:rPr>
  </w:style>
  <w:style w:type="paragraph" w:styleId="Heading2">
    <w:name w:val="heading 2"/>
    <w:basedOn w:val="Normal"/>
    <w:next w:val="Normal"/>
    <w:link w:val="Heading2Char"/>
    <w:uiPriority w:val="9"/>
    <w:unhideWhenUsed/>
    <w:qFormat/>
    <w:rsid w:val="00DD089D"/>
    <w:pPr>
      <w:spacing w:before="360" w:after="0" w:line="240" w:lineRule="auto"/>
      <w:outlineLvl w:val="1"/>
    </w:pPr>
    <w:rPr>
      <w:rFonts w:ascii="Arial" w:eastAsia="Calibri" w:hAnsi="Arial" w:cs="Arial"/>
      <w:b/>
      <w:bCs/>
      <w:color w:val="0AC3EF" w:themeColor="accent1"/>
      <w:sz w:val="28"/>
      <w:szCs w:val="28"/>
    </w:rPr>
  </w:style>
  <w:style w:type="paragraph" w:styleId="Heading3">
    <w:name w:val="heading 3"/>
    <w:basedOn w:val="Normal"/>
    <w:next w:val="Normal"/>
    <w:link w:val="Heading3Char"/>
    <w:uiPriority w:val="9"/>
    <w:unhideWhenUsed/>
    <w:qFormat/>
    <w:rsid w:val="00E9336F"/>
    <w:pPr>
      <w:keepNext/>
      <w:keepLines/>
      <w:spacing w:before="200" w:after="0" w:line="240" w:lineRule="auto"/>
      <w:outlineLvl w:val="2"/>
    </w:pPr>
    <w:rPr>
      <w:rFonts w:asciiTheme="majorHAnsi" w:eastAsiaTheme="majorEastAsia" w:hAnsiTheme="majorHAnsi" w:cstheme="majorBidi"/>
      <w:b/>
      <w:bCs/>
      <w:color w:val="056177" w:themeColor="accent1" w:themeShade="80"/>
      <w:sz w:val="24"/>
      <w:szCs w:val="24"/>
    </w:rPr>
  </w:style>
  <w:style w:type="paragraph" w:styleId="Heading4">
    <w:name w:val="heading 4"/>
    <w:basedOn w:val="Normal"/>
    <w:next w:val="Normal"/>
    <w:link w:val="Heading4Char"/>
    <w:uiPriority w:val="9"/>
    <w:unhideWhenUsed/>
    <w:qFormat/>
    <w:rsid w:val="00E9336F"/>
    <w:pPr>
      <w:keepNext/>
      <w:snapToGrid w:val="0"/>
      <w:spacing w:before="240" w:after="0" w:line="240" w:lineRule="auto"/>
      <w:outlineLvl w:val="3"/>
    </w:pPr>
    <w:rPr>
      <w:rFonts w:ascii="Arial" w:eastAsia="Calibri" w:hAnsi="Arial" w:cs="Arial"/>
      <w:b/>
      <w:bCs/>
      <w:caps/>
      <w:color w:val="A6A6A6" w:themeColor="background1" w:themeShade="A6"/>
      <w:spacing w:val="20"/>
      <w:sz w:val="18"/>
      <w:szCs w:val="18"/>
    </w:rPr>
  </w:style>
  <w:style w:type="paragraph" w:styleId="Heading5">
    <w:name w:val="heading 5"/>
    <w:basedOn w:val="Normal"/>
    <w:next w:val="Normal"/>
    <w:link w:val="Heading5Char"/>
    <w:uiPriority w:val="9"/>
    <w:unhideWhenUsed/>
    <w:qFormat/>
    <w:rsid w:val="00E9336F"/>
    <w:pPr>
      <w:keepNext/>
      <w:snapToGrid w:val="0"/>
      <w:spacing w:before="240" w:after="0"/>
      <w:outlineLvl w:val="4"/>
    </w:pPr>
    <w:rPr>
      <w:rFonts w:eastAsia="Calibri"/>
      <w:i/>
      <w:iCs/>
      <w:color w:val="20546B" w:themeColor="text2"/>
      <w:sz w:val="22"/>
      <w:szCs w:val="22"/>
    </w:rPr>
  </w:style>
  <w:style w:type="paragraph" w:styleId="Heading6">
    <w:name w:val="heading 6"/>
    <w:next w:val="Normal"/>
    <w:link w:val="Heading6Char"/>
    <w:uiPriority w:val="9"/>
    <w:unhideWhenUsed/>
    <w:qFormat/>
    <w:rsid w:val="00E9336F"/>
    <w:pPr>
      <w:spacing w:before="200"/>
      <w:outlineLvl w:val="5"/>
    </w:pPr>
    <w:rPr>
      <w:rFonts w:ascii="Times New Roman" w:hAnsi="Times New Roman" w:cs="Times New Roman"/>
      <w:i/>
      <w:iCs/>
      <w:color w:val="141414" w:themeColor="text1" w:themeShade="80"/>
      <w:sz w:val="23"/>
      <w:szCs w:val="23"/>
    </w:rPr>
  </w:style>
  <w:style w:type="paragraph" w:styleId="Heading7">
    <w:name w:val="heading 7"/>
    <w:basedOn w:val="Normal"/>
    <w:next w:val="Normal"/>
    <w:link w:val="Heading7Char"/>
    <w:uiPriority w:val="9"/>
    <w:semiHidden/>
    <w:unhideWhenUsed/>
    <w:qFormat/>
    <w:rsid w:val="00AC4716"/>
    <w:pPr>
      <w:keepNext/>
      <w:keepLines/>
      <w:numPr>
        <w:ilvl w:val="6"/>
        <w:numId w:val="7"/>
      </w:numPr>
      <w:spacing w:before="40"/>
      <w:outlineLvl w:val="6"/>
    </w:pPr>
    <w:rPr>
      <w:rFonts w:asciiTheme="majorHAnsi" w:eastAsiaTheme="majorEastAsia" w:hAnsiTheme="majorHAnsi" w:cstheme="majorBidi"/>
      <w:i/>
      <w:iCs/>
      <w:color w:val="056177" w:themeColor="accent1" w:themeShade="7F"/>
    </w:rPr>
  </w:style>
  <w:style w:type="paragraph" w:styleId="Heading8">
    <w:name w:val="heading 8"/>
    <w:basedOn w:val="Normal"/>
    <w:next w:val="Normal"/>
    <w:link w:val="Heading8Char"/>
    <w:uiPriority w:val="9"/>
    <w:unhideWhenUsed/>
    <w:qFormat/>
    <w:rsid w:val="00AC4716"/>
    <w:pPr>
      <w:keepNext/>
      <w:keepLines/>
      <w:numPr>
        <w:ilvl w:val="7"/>
        <w:numId w:val="7"/>
      </w:numPr>
      <w:spacing w:before="40"/>
      <w:outlineLvl w:val="7"/>
    </w:pPr>
    <w:rPr>
      <w:rFonts w:asciiTheme="majorHAnsi" w:eastAsiaTheme="majorEastAsia" w:hAnsiTheme="majorHAnsi" w:cstheme="majorBidi"/>
      <w:color w:val="484848" w:themeColor="text1" w:themeTint="D8"/>
    </w:rPr>
  </w:style>
  <w:style w:type="paragraph" w:styleId="Heading9">
    <w:name w:val="heading 9"/>
    <w:basedOn w:val="Normal"/>
    <w:next w:val="Normal"/>
    <w:link w:val="Heading9Char"/>
    <w:uiPriority w:val="9"/>
    <w:semiHidden/>
    <w:unhideWhenUsed/>
    <w:qFormat/>
    <w:rsid w:val="00AC4716"/>
    <w:pPr>
      <w:keepNext/>
      <w:keepLines/>
      <w:numPr>
        <w:ilvl w:val="8"/>
        <w:numId w:val="7"/>
      </w:numPr>
      <w:spacing w:before="40"/>
      <w:outlineLvl w:val="8"/>
    </w:pPr>
    <w:rPr>
      <w:rFonts w:asciiTheme="majorHAnsi" w:eastAsiaTheme="majorEastAsia" w:hAnsiTheme="majorHAnsi" w:cstheme="majorBidi"/>
      <w:i/>
      <w:iCs/>
      <w:color w:val="48484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3CE"/>
    <w:rPr>
      <w:rFonts w:asciiTheme="majorHAnsi" w:eastAsia="Calibri" w:hAnsiTheme="majorHAnsi" w:cs="Arial"/>
      <w:b/>
      <w:color w:val="20546B" w:themeColor="text2"/>
      <w:sz w:val="44"/>
      <w:szCs w:val="44"/>
    </w:rPr>
  </w:style>
  <w:style w:type="character" w:customStyle="1" w:styleId="Heading2Char">
    <w:name w:val="Heading 2 Char"/>
    <w:basedOn w:val="DefaultParagraphFont"/>
    <w:link w:val="Heading2"/>
    <w:uiPriority w:val="9"/>
    <w:rsid w:val="00D560A3"/>
    <w:rPr>
      <w:rFonts w:ascii="Arial" w:eastAsia="Calibri" w:hAnsi="Arial" w:cs="Arial"/>
      <w:b/>
      <w:bCs/>
      <w:color w:val="0AC3EF" w:themeColor="accent1"/>
      <w:sz w:val="28"/>
      <w:szCs w:val="28"/>
    </w:rPr>
  </w:style>
  <w:style w:type="character" w:customStyle="1" w:styleId="Heading3Char">
    <w:name w:val="Heading 3 Char"/>
    <w:basedOn w:val="DefaultParagraphFont"/>
    <w:link w:val="Heading3"/>
    <w:uiPriority w:val="9"/>
    <w:rsid w:val="006F73CE"/>
    <w:rPr>
      <w:rFonts w:asciiTheme="majorHAnsi" w:eastAsiaTheme="majorEastAsia" w:hAnsiTheme="majorHAnsi" w:cstheme="majorBidi"/>
      <w:b/>
      <w:bCs/>
      <w:color w:val="056177" w:themeColor="accent1" w:themeShade="80"/>
    </w:rPr>
  </w:style>
  <w:style w:type="character" w:customStyle="1" w:styleId="Heading4Char">
    <w:name w:val="Heading 4 Char"/>
    <w:basedOn w:val="DefaultParagraphFont"/>
    <w:link w:val="Heading4"/>
    <w:uiPriority w:val="9"/>
    <w:rsid w:val="006F73CE"/>
    <w:rPr>
      <w:rFonts w:ascii="Arial" w:eastAsia="Calibri" w:hAnsi="Arial" w:cs="Arial"/>
      <w:b/>
      <w:bCs/>
      <w:caps/>
      <w:color w:val="A6A6A6" w:themeColor="background1" w:themeShade="A6"/>
      <w:spacing w:val="20"/>
      <w:sz w:val="18"/>
      <w:szCs w:val="18"/>
    </w:rPr>
  </w:style>
  <w:style w:type="character" w:customStyle="1" w:styleId="Heading5Char">
    <w:name w:val="Heading 5 Char"/>
    <w:basedOn w:val="DefaultParagraphFont"/>
    <w:link w:val="Heading5"/>
    <w:uiPriority w:val="9"/>
    <w:rsid w:val="006F73CE"/>
    <w:rPr>
      <w:rFonts w:eastAsia="Calibri" w:cs="Times New Roman"/>
      <w:i/>
      <w:iCs/>
      <w:color w:val="20546B" w:themeColor="text2"/>
      <w:sz w:val="22"/>
      <w:szCs w:val="22"/>
    </w:rPr>
  </w:style>
  <w:style w:type="character" w:customStyle="1" w:styleId="Heading6Char">
    <w:name w:val="Heading 6 Char"/>
    <w:basedOn w:val="DefaultParagraphFont"/>
    <w:link w:val="Heading6"/>
    <w:uiPriority w:val="9"/>
    <w:rsid w:val="00F53126"/>
    <w:rPr>
      <w:rFonts w:ascii="Times New Roman" w:hAnsi="Times New Roman" w:cs="Times New Roman"/>
      <w:i/>
      <w:iCs/>
      <w:color w:val="141414" w:themeColor="text1" w:themeShade="80"/>
      <w:sz w:val="23"/>
      <w:szCs w:val="23"/>
    </w:rPr>
  </w:style>
  <w:style w:type="character" w:styleId="Strong">
    <w:name w:val="Strong"/>
    <w:aliases w:val="Column Title"/>
    <w:uiPriority w:val="22"/>
    <w:rsid w:val="00E66B80"/>
    <w:rPr>
      <w:rFonts w:eastAsiaTheme="minorHAnsi" w:cs="Times New Roman (Body CS)"/>
      <w:b/>
      <w:caps/>
      <w:color w:val="282828" w:themeColor="text1"/>
      <w:spacing w:val="28"/>
      <w:sz w:val="20"/>
    </w:rPr>
  </w:style>
  <w:style w:type="table" w:styleId="TableGrid">
    <w:name w:val="Table Grid"/>
    <w:basedOn w:val="TableNormal"/>
    <w:uiPriority w:val="39"/>
    <w:rsid w:val="006F7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73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F73CE"/>
    <w:rPr>
      <w:rFonts w:cs="Times New Roman"/>
      <w:color w:val="141414" w:themeColor="text1" w:themeShade="80"/>
      <w:sz w:val="21"/>
      <w:szCs w:val="21"/>
    </w:rPr>
  </w:style>
  <w:style w:type="paragraph" w:styleId="Footer">
    <w:name w:val="footer"/>
    <w:aliases w:val="Bottom Footer / Page #"/>
    <w:basedOn w:val="Normal"/>
    <w:link w:val="FooterChar"/>
    <w:uiPriority w:val="99"/>
    <w:unhideWhenUsed/>
    <w:qFormat/>
    <w:rsid w:val="006F73CE"/>
    <w:pPr>
      <w:tabs>
        <w:tab w:val="center" w:pos="4680"/>
        <w:tab w:val="right" w:pos="9360"/>
      </w:tabs>
      <w:ind w:right="-504"/>
      <w:jc w:val="right"/>
    </w:pPr>
    <w:rPr>
      <w:rFonts w:ascii="Times New Roman" w:eastAsia="Calibri" w:hAnsi="Times New Roman"/>
      <w:sz w:val="17"/>
      <w:szCs w:val="17"/>
    </w:rPr>
  </w:style>
  <w:style w:type="character" w:customStyle="1" w:styleId="FooterChar">
    <w:name w:val="Footer Char"/>
    <w:aliases w:val="Bottom Footer / Page # Char"/>
    <w:basedOn w:val="DefaultParagraphFont"/>
    <w:link w:val="Footer"/>
    <w:uiPriority w:val="99"/>
    <w:rsid w:val="006F73CE"/>
    <w:rPr>
      <w:rFonts w:ascii="Times New Roman" w:eastAsia="Calibri" w:hAnsi="Times New Roman" w:cs="Times New Roman"/>
      <w:color w:val="141414" w:themeColor="text1" w:themeShade="80"/>
      <w:sz w:val="17"/>
      <w:szCs w:val="17"/>
    </w:rPr>
  </w:style>
  <w:style w:type="paragraph" w:styleId="FootnoteText">
    <w:name w:val="footnote text"/>
    <w:aliases w:val="Footnote,Footnote Text Char Char,Footnote Text Char1 Char,Footnote Text Char Char Char,Footnote Text Char1 Char Char Char,Footnote Text Char Char1 Char Char Char,Footnote Text Char Char Char Char Char Char Char Char"/>
    <w:basedOn w:val="Normal"/>
    <w:link w:val="FootnoteTextChar"/>
    <w:uiPriority w:val="99"/>
    <w:qFormat/>
    <w:rsid w:val="006F73CE"/>
    <w:pPr>
      <w:keepNext/>
      <w:keepLines/>
      <w:spacing w:before="80" w:after="0" w:line="259" w:lineRule="auto"/>
    </w:pPr>
    <w:rPr>
      <w:rFonts w:cstheme="minorBidi"/>
      <w:sz w:val="18"/>
    </w:rPr>
  </w:style>
  <w:style w:type="character" w:customStyle="1" w:styleId="FootnoteTextChar">
    <w:name w:val="Footnote Text Char"/>
    <w:aliases w:val="Footnote Char,Footnote Text Char Char Char1,Footnote Text Char1 Char Char,Footnote Text Char Char Char Char,Footnote Text Char1 Char Char Char Char,Footnote Text Char Char1 Char Char Char Char"/>
    <w:basedOn w:val="DefaultParagraphFont"/>
    <w:link w:val="FootnoteText"/>
    <w:uiPriority w:val="99"/>
    <w:rsid w:val="006F73CE"/>
    <w:rPr>
      <w:color w:val="141414" w:themeColor="text1" w:themeShade="80"/>
      <w:sz w:val="18"/>
      <w:szCs w:val="21"/>
    </w:rPr>
  </w:style>
  <w:style w:type="character" w:styleId="PageNumber">
    <w:name w:val="page number"/>
    <w:basedOn w:val="DefaultParagraphFont"/>
    <w:uiPriority w:val="99"/>
    <w:semiHidden/>
    <w:unhideWhenUsed/>
    <w:rsid w:val="00B32A74"/>
  </w:style>
  <w:style w:type="paragraph" w:styleId="EnvelopeAddress">
    <w:name w:val="envelope address"/>
    <w:basedOn w:val="Normal"/>
    <w:uiPriority w:val="99"/>
    <w:unhideWhenUsed/>
    <w:rsid w:val="000425E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TOC5">
    <w:name w:val="toc 5"/>
    <w:basedOn w:val="Normal"/>
    <w:next w:val="Normal"/>
    <w:autoRedefine/>
    <w:uiPriority w:val="39"/>
    <w:unhideWhenUsed/>
    <w:rsid w:val="00FA09EE"/>
    <w:pPr>
      <w:spacing w:before="0" w:after="0"/>
      <w:ind w:left="840"/>
    </w:pPr>
    <w:rPr>
      <w:sz w:val="20"/>
      <w:szCs w:val="20"/>
    </w:rPr>
  </w:style>
  <w:style w:type="paragraph" w:styleId="TOCHeading">
    <w:name w:val="TOC Heading"/>
    <w:basedOn w:val="Heading1"/>
    <w:next w:val="Normal"/>
    <w:uiPriority w:val="39"/>
    <w:unhideWhenUsed/>
    <w:qFormat/>
    <w:rsid w:val="00A33A56"/>
    <w:pPr>
      <w:keepNext/>
      <w:keepLines/>
      <w:pageBreakBefore w:val="0"/>
      <w:pBdr>
        <w:bottom w:val="none" w:sz="0" w:space="0" w:color="auto"/>
      </w:pBdr>
      <w:spacing w:after="120" w:line="276" w:lineRule="auto"/>
      <w:ind w:left="0" w:firstLine="0"/>
      <w:contextualSpacing w:val="0"/>
      <w:outlineLvl w:val="9"/>
    </w:pPr>
    <w:rPr>
      <w:rFonts w:eastAsiaTheme="majorEastAsia" w:cs="Times New Roman (Headings CS)"/>
      <w:bCs/>
      <w:spacing w:val="-6"/>
      <w:sz w:val="32"/>
      <w:szCs w:val="32"/>
    </w:rPr>
  </w:style>
  <w:style w:type="paragraph" w:styleId="TOC2">
    <w:name w:val="toc 2"/>
    <w:basedOn w:val="Normal"/>
    <w:next w:val="Normal"/>
    <w:uiPriority w:val="39"/>
    <w:qFormat/>
    <w:rsid w:val="006F73CE"/>
    <w:pPr>
      <w:tabs>
        <w:tab w:val="left" w:pos="720"/>
        <w:tab w:val="right" w:leader="dot" w:pos="9360"/>
      </w:tabs>
      <w:spacing w:before="0" w:after="80" w:line="240" w:lineRule="auto"/>
      <w:ind w:left="274"/>
    </w:pPr>
    <w:rPr>
      <w:noProof/>
      <w:szCs w:val="22"/>
    </w:rPr>
  </w:style>
  <w:style w:type="character" w:styleId="Hyperlink">
    <w:name w:val="Hyperlink"/>
    <w:uiPriority w:val="99"/>
    <w:qFormat/>
    <w:rsid w:val="006F73CE"/>
    <w:rPr>
      <w:color w:val="20546B" w:themeColor="text2"/>
      <w:u w:val="single"/>
    </w:rPr>
  </w:style>
  <w:style w:type="paragraph" w:styleId="TOC1">
    <w:name w:val="toc 1"/>
    <w:basedOn w:val="Normal"/>
    <w:next w:val="Normal"/>
    <w:autoRedefine/>
    <w:uiPriority w:val="39"/>
    <w:unhideWhenUsed/>
    <w:qFormat/>
    <w:rsid w:val="006F73CE"/>
    <w:pPr>
      <w:tabs>
        <w:tab w:val="left" w:pos="450"/>
        <w:tab w:val="right" w:leader="dot" w:pos="9350"/>
      </w:tabs>
      <w:spacing w:after="40"/>
    </w:pPr>
    <w:rPr>
      <w:rFonts w:eastAsia="Calibri" w:cs="Calibri"/>
      <w:noProof/>
      <w:color w:val="auto"/>
    </w:rPr>
  </w:style>
  <w:style w:type="paragraph" w:styleId="TOC3">
    <w:name w:val="toc 3"/>
    <w:next w:val="Normal"/>
    <w:autoRedefine/>
    <w:uiPriority w:val="39"/>
    <w:unhideWhenUsed/>
    <w:qFormat/>
    <w:rsid w:val="006F73CE"/>
    <w:pPr>
      <w:tabs>
        <w:tab w:val="right" w:leader="dot" w:pos="9360"/>
      </w:tabs>
      <w:spacing w:before="40" w:after="40"/>
      <w:ind w:left="907"/>
    </w:pPr>
    <w:rPr>
      <w:rFonts w:cs="Times New Roman"/>
      <w:noProof/>
      <w:color w:val="141414" w:themeColor="text1" w:themeShade="80"/>
      <w:spacing w:val="1"/>
      <w:sz w:val="21"/>
      <w:szCs w:val="22"/>
    </w:rPr>
  </w:style>
  <w:style w:type="paragraph" w:styleId="TOC4">
    <w:name w:val="toc 4"/>
    <w:aliases w:val="TOC 4 Appendices"/>
    <w:basedOn w:val="Normal"/>
    <w:next w:val="Normal"/>
    <w:autoRedefine/>
    <w:uiPriority w:val="39"/>
    <w:unhideWhenUsed/>
    <w:rsid w:val="0056650C"/>
    <w:pPr>
      <w:tabs>
        <w:tab w:val="right" w:leader="dot" w:pos="9350"/>
      </w:tabs>
      <w:spacing w:before="240" w:after="0"/>
      <w:ind w:left="446"/>
    </w:pPr>
    <w:rPr>
      <w:b/>
      <w:bCs/>
      <w:noProof/>
      <w:szCs w:val="22"/>
    </w:rPr>
  </w:style>
  <w:style w:type="paragraph" w:styleId="TOC6">
    <w:name w:val="toc 6"/>
    <w:basedOn w:val="Normal"/>
    <w:next w:val="Normal"/>
    <w:autoRedefine/>
    <w:uiPriority w:val="39"/>
    <w:unhideWhenUsed/>
    <w:rsid w:val="00703FA2"/>
    <w:pPr>
      <w:spacing w:before="0" w:after="0"/>
      <w:ind w:left="1050"/>
    </w:pPr>
    <w:rPr>
      <w:sz w:val="20"/>
      <w:szCs w:val="20"/>
    </w:rPr>
  </w:style>
  <w:style w:type="paragraph" w:styleId="TOC7">
    <w:name w:val="toc 7"/>
    <w:basedOn w:val="Normal"/>
    <w:next w:val="Normal"/>
    <w:autoRedefine/>
    <w:uiPriority w:val="39"/>
    <w:unhideWhenUsed/>
    <w:rsid w:val="00703FA2"/>
    <w:pPr>
      <w:spacing w:before="0" w:after="0"/>
      <w:ind w:left="1260"/>
    </w:pPr>
    <w:rPr>
      <w:sz w:val="20"/>
      <w:szCs w:val="20"/>
    </w:rPr>
  </w:style>
  <w:style w:type="paragraph" w:styleId="TOC8">
    <w:name w:val="toc 8"/>
    <w:basedOn w:val="Normal"/>
    <w:next w:val="Normal"/>
    <w:autoRedefine/>
    <w:uiPriority w:val="39"/>
    <w:unhideWhenUsed/>
    <w:rsid w:val="00703FA2"/>
    <w:pPr>
      <w:spacing w:before="0" w:after="0"/>
      <w:ind w:left="1470"/>
    </w:pPr>
    <w:rPr>
      <w:sz w:val="20"/>
      <w:szCs w:val="20"/>
    </w:rPr>
  </w:style>
  <w:style w:type="paragraph" w:styleId="TOC9">
    <w:name w:val="toc 9"/>
    <w:basedOn w:val="Normal"/>
    <w:next w:val="Normal"/>
    <w:autoRedefine/>
    <w:uiPriority w:val="39"/>
    <w:unhideWhenUsed/>
    <w:rsid w:val="00703FA2"/>
    <w:pPr>
      <w:spacing w:before="0" w:after="0"/>
      <w:ind w:left="1680"/>
    </w:pPr>
    <w:rPr>
      <w:sz w:val="20"/>
      <w:szCs w:val="20"/>
    </w:rPr>
  </w:style>
  <w:style w:type="paragraph" w:styleId="Revision">
    <w:name w:val="Revision"/>
    <w:hidden/>
    <w:uiPriority w:val="99"/>
    <w:semiHidden/>
    <w:rsid w:val="001D7D49"/>
    <w:rPr>
      <w:rFonts w:ascii="Times New Roman" w:hAnsi="Times New Roman" w:cs="Times New Roman"/>
      <w:color w:val="141414" w:themeColor="text1" w:themeShade="80"/>
      <w:spacing w:val="1"/>
      <w:sz w:val="21"/>
      <w:szCs w:val="22"/>
    </w:rPr>
  </w:style>
  <w:style w:type="table" w:styleId="GridTable1Light-Accent1">
    <w:name w:val="Grid Table 1 Light Accent 1"/>
    <w:basedOn w:val="TableNormal"/>
    <w:uiPriority w:val="46"/>
    <w:rsid w:val="000A07C6"/>
    <w:tblPr>
      <w:tblStyleRowBandSize w:val="1"/>
      <w:tblStyleColBandSize w:val="1"/>
      <w:tblBorders>
        <w:top w:val="single" w:sz="4" w:space="0" w:color="9AE8FA" w:themeColor="accent1" w:themeTint="66"/>
        <w:left w:val="single" w:sz="4" w:space="0" w:color="9AE8FA" w:themeColor="accent1" w:themeTint="66"/>
        <w:bottom w:val="single" w:sz="4" w:space="0" w:color="9AE8FA" w:themeColor="accent1" w:themeTint="66"/>
        <w:right w:val="single" w:sz="4" w:space="0" w:color="9AE8FA" w:themeColor="accent1" w:themeTint="66"/>
        <w:insideH w:val="single" w:sz="4" w:space="0" w:color="9AE8FA" w:themeColor="accent1" w:themeTint="66"/>
        <w:insideV w:val="single" w:sz="4" w:space="0" w:color="9AE8FA" w:themeColor="accent1" w:themeTint="66"/>
      </w:tblBorders>
    </w:tblPr>
    <w:tblStylePr w:type="firstRow">
      <w:rPr>
        <w:b/>
        <w:bCs/>
      </w:rPr>
      <w:tblPr/>
      <w:tcPr>
        <w:tcBorders>
          <w:bottom w:val="single" w:sz="12" w:space="0" w:color="68DDF8" w:themeColor="accent1" w:themeTint="99"/>
        </w:tcBorders>
      </w:tcPr>
    </w:tblStylePr>
    <w:tblStylePr w:type="lastRow">
      <w:rPr>
        <w:b/>
        <w:bCs/>
      </w:rPr>
      <w:tblPr/>
      <w:tcPr>
        <w:tcBorders>
          <w:top w:val="double" w:sz="2" w:space="0" w:color="68DDF8"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6F73CE"/>
    <w:tblPr>
      <w:tblStyleRowBandSize w:val="1"/>
      <w:tblStyleColBandSize w:val="1"/>
      <w:tblBorders>
        <w:top w:val="single" w:sz="4" w:space="0" w:color="68DDF8" w:themeColor="accent1" w:themeTint="99"/>
        <w:left w:val="single" w:sz="4" w:space="0" w:color="68DDF8" w:themeColor="accent1" w:themeTint="99"/>
        <w:bottom w:val="single" w:sz="4" w:space="0" w:color="68DDF8" w:themeColor="accent1" w:themeTint="99"/>
        <w:right w:val="single" w:sz="4" w:space="0" w:color="68DDF8" w:themeColor="accent1" w:themeTint="99"/>
        <w:insideH w:val="single" w:sz="4" w:space="0" w:color="68DDF8" w:themeColor="accent1" w:themeTint="99"/>
        <w:insideV w:val="single" w:sz="4" w:space="0" w:color="68DDF8" w:themeColor="accent1" w:themeTint="99"/>
      </w:tblBorders>
    </w:tblPr>
    <w:tblStylePr w:type="firstRow">
      <w:rPr>
        <w:b/>
        <w:bCs/>
        <w:color w:val="FFFFFF" w:themeColor="background1"/>
      </w:rPr>
      <w:tblPr/>
      <w:tcPr>
        <w:tcBorders>
          <w:insideH w:val="single" w:sz="4" w:space="0" w:color="FFFFFF" w:themeColor="background1"/>
          <w:insideV w:val="single" w:sz="4" w:space="0" w:color="FFFFFF" w:themeColor="background1"/>
        </w:tcBorders>
        <w:shd w:val="clear" w:color="auto" w:fill="0AC3EF" w:themeFill="accent1"/>
      </w:tcPr>
    </w:tblStylePr>
    <w:tblStylePr w:type="lastRow">
      <w:rPr>
        <w:b/>
        <w:bCs/>
      </w:rPr>
      <w:tblPr/>
      <w:tcPr>
        <w:tcBorders>
          <w:top w:val="double" w:sz="4" w:space="0" w:color="0AC3EF" w:themeColor="accent1"/>
        </w:tcBorders>
      </w:tcPr>
    </w:tblStylePr>
    <w:tblStylePr w:type="firstCol">
      <w:rPr>
        <w:b/>
        <w:bCs/>
      </w:rPr>
    </w:tblStylePr>
    <w:tblStylePr w:type="lastCol">
      <w:rPr>
        <w:b/>
        <w:bCs/>
      </w:rPr>
    </w:tblStylePr>
    <w:tblStylePr w:type="band1Vert">
      <w:tblPr/>
      <w:tcPr>
        <w:shd w:val="clear" w:color="auto" w:fill="CCF3FD" w:themeFill="accent1" w:themeFillTint="33"/>
      </w:tcPr>
    </w:tblStylePr>
    <w:tblStylePr w:type="band1Horz">
      <w:tblPr/>
      <w:tcPr>
        <w:shd w:val="clear" w:color="auto" w:fill="CCF3FD" w:themeFill="accent1" w:themeFillTint="33"/>
      </w:tcPr>
    </w:tblStylePr>
  </w:style>
  <w:style w:type="paragraph" w:customStyle="1" w:styleId="TableText">
    <w:name w:val="Table Text"/>
    <w:basedOn w:val="Normal"/>
    <w:qFormat/>
    <w:rsid w:val="006F73CE"/>
    <w:pPr>
      <w:spacing w:before="20" w:after="20" w:line="240" w:lineRule="auto"/>
    </w:pPr>
    <w:rPr>
      <w:rFonts w:ascii="Arial" w:hAnsi="Arial"/>
      <w:sz w:val="20"/>
      <w:szCs w:val="20"/>
    </w:rPr>
  </w:style>
  <w:style w:type="character" w:styleId="FootnoteReference">
    <w:name w:val="footnote reference"/>
    <w:basedOn w:val="DefaultParagraphFont"/>
    <w:uiPriority w:val="99"/>
    <w:unhideWhenUsed/>
    <w:rsid w:val="006F73CE"/>
    <w:rPr>
      <w:vertAlign w:val="superscript"/>
    </w:rPr>
  </w:style>
  <w:style w:type="paragraph" w:styleId="Caption">
    <w:name w:val="caption"/>
    <w:basedOn w:val="Normal"/>
    <w:next w:val="Normal"/>
    <w:link w:val="CaptionChar"/>
    <w:unhideWhenUsed/>
    <w:qFormat/>
    <w:rsid w:val="006F73CE"/>
    <w:pPr>
      <w:spacing w:before="0" w:after="200" w:line="240" w:lineRule="auto"/>
    </w:pPr>
    <w:rPr>
      <w:b/>
      <w:bCs/>
      <w:color w:val="auto"/>
    </w:rPr>
  </w:style>
  <w:style w:type="character" w:customStyle="1" w:styleId="CaptionChar">
    <w:name w:val="Caption Char"/>
    <w:link w:val="Caption"/>
    <w:rsid w:val="006A2625"/>
    <w:rPr>
      <w:rFonts w:cs="Times New Roman"/>
      <w:b/>
      <w:bCs/>
      <w:sz w:val="21"/>
      <w:szCs w:val="21"/>
    </w:rPr>
  </w:style>
  <w:style w:type="paragraph" w:customStyle="1" w:styleId="FigureCaption">
    <w:name w:val="Figure Caption"/>
    <w:qFormat/>
    <w:rsid w:val="00BD7FEE"/>
    <w:pPr>
      <w:spacing w:before="40" w:after="240"/>
    </w:pPr>
    <w:rPr>
      <w:rFonts w:ascii="Times New Roman" w:hAnsi="Times New Roman" w:cs="Times New Roman"/>
      <w:b/>
      <w:bCs/>
      <w:color w:val="282828" w:themeColor="text1"/>
      <w:spacing w:val="1"/>
      <w:sz w:val="22"/>
      <w:szCs w:val="22"/>
    </w:rPr>
  </w:style>
  <w:style w:type="paragraph" w:customStyle="1" w:styleId="TableorFigureSource">
    <w:name w:val="Table or Figure Source"/>
    <w:qFormat/>
    <w:rsid w:val="00BD7FEE"/>
    <w:pPr>
      <w:spacing w:before="80" w:after="240"/>
    </w:pPr>
    <w:rPr>
      <w:rFonts w:ascii="Lato" w:hAnsi="Lato" w:cs="Times New Roman"/>
      <w:color w:val="141414" w:themeColor="text1" w:themeShade="80"/>
      <w:spacing w:val="1"/>
      <w:sz w:val="18"/>
      <w:szCs w:val="20"/>
    </w:rPr>
  </w:style>
  <w:style w:type="paragraph" w:styleId="TableofFigures">
    <w:name w:val="table of figures"/>
    <w:aliases w:val="List of Tables/ Figures"/>
    <w:basedOn w:val="Normal"/>
    <w:next w:val="Normal"/>
    <w:uiPriority w:val="99"/>
    <w:qFormat/>
    <w:rsid w:val="006F73CE"/>
    <w:pPr>
      <w:ind w:left="400" w:hanging="400"/>
    </w:pPr>
    <w:rPr>
      <w:rFonts w:eastAsia="Times New Roman"/>
      <w:szCs w:val="24"/>
    </w:rPr>
  </w:style>
  <w:style w:type="character" w:styleId="CommentReference">
    <w:name w:val="annotation reference"/>
    <w:basedOn w:val="DefaultParagraphFont"/>
    <w:uiPriority w:val="99"/>
    <w:semiHidden/>
    <w:unhideWhenUsed/>
    <w:rsid w:val="00FC2AA7"/>
    <w:rPr>
      <w:sz w:val="16"/>
      <w:szCs w:val="16"/>
    </w:rPr>
  </w:style>
  <w:style w:type="paragraph" w:styleId="CommentText">
    <w:name w:val="annotation text"/>
    <w:basedOn w:val="Normal"/>
    <w:link w:val="CommentTextChar"/>
    <w:autoRedefine/>
    <w:uiPriority w:val="99"/>
    <w:unhideWhenUsed/>
    <w:rsid w:val="00A17426"/>
    <w:pPr>
      <w:spacing w:before="0" w:line="240" w:lineRule="auto"/>
    </w:pPr>
    <w:rPr>
      <w:rFonts w:cstheme="minorBidi"/>
      <w:i/>
      <w:iCs/>
      <w:color w:val="auto"/>
      <w:sz w:val="20"/>
      <w:szCs w:val="20"/>
    </w:rPr>
  </w:style>
  <w:style w:type="character" w:customStyle="1" w:styleId="CommentTextChar">
    <w:name w:val="Comment Text Char"/>
    <w:basedOn w:val="DefaultParagraphFont"/>
    <w:link w:val="CommentText"/>
    <w:uiPriority w:val="99"/>
    <w:rsid w:val="00A17426"/>
    <w:rPr>
      <w:i/>
      <w:iCs/>
      <w:sz w:val="20"/>
      <w:szCs w:val="20"/>
    </w:rPr>
  </w:style>
  <w:style w:type="paragraph" w:styleId="CommentSubject">
    <w:name w:val="annotation subject"/>
    <w:basedOn w:val="CommentText"/>
    <w:next w:val="CommentText"/>
    <w:link w:val="CommentSubjectChar"/>
    <w:uiPriority w:val="99"/>
    <w:semiHidden/>
    <w:unhideWhenUsed/>
    <w:rsid w:val="00FC2AA7"/>
    <w:rPr>
      <w:b/>
      <w:bCs/>
    </w:rPr>
  </w:style>
  <w:style w:type="character" w:customStyle="1" w:styleId="CommentSubjectChar">
    <w:name w:val="Comment Subject Char"/>
    <w:basedOn w:val="CommentTextChar"/>
    <w:link w:val="CommentSubject"/>
    <w:uiPriority w:val="99"/>
    <w:semiHidden/>
    <w:rsid w:val="00FC2AA7"/>
    <w:rPr>
      <w:b/>
      <w:bCs/>
      <w:i/>
      <w:iCs/>
      <w:sz w:val="20"/>
      <w:szCs w:val="20"/>
    </w:rPr>
  </w:style>
  <w:style w:type="character" w:styleId="UnresolvedMention">
    <w:name w:val="Unresolved Mention"/>
    <w:basedOn w:val="DefaultParagraphFont"/>
    <w:uiPriority w:val="99"/>
    <w:unhideWhenUsed/>
    <w:rsid w:val="006F73CE"/>
    <w:rPr>
      <w:color w:val="605E5C"/>
      <w:shd w:val="clear" w:color="auto" w:fill="E1DFDD"/>
    </w:rPr>
  </w:style>
  <w:style w:type="character" w:styleId="Mention">
    <w:name w:val="Mention"/>
    <w:basedOn w:val="DefaultParagraphFont"/>
    <w:uiPriority w:val="99"/>
    <w:unhideWhenUsed/>
    <w:rsid w:val="00FC2AA7"/>
    <w:rPr>
      <w:color w:val="2B579A"/>
      <w:shd w:val="clear" w:color="auto" w:fill="E1DFDD"/>
    </w:rPr>
  </w:style>
  <w:style w:type="paragraph" w:customStyle="1" w:styleId="BulletedList">
    <w:name w:val="Bulleted List"/>
    <w:basedOn w:val="Normal"/>
    <w:rsid w:val="00412914"/>
    <w:pPr>
      <w:numPr>
        <w:numId w:val="2"/>
      </w:numPr>
    </w:pPr>
  </w:style>
  <w:style w:type="paragraph" w:styleId="Quote">
    <w:name w:val="Quote"/>
    <w:basedOn w:val="Normal"/>
    <w:next w:val="Normal"/>
    <w:link w:val="QuoteChar"/>
    <w:uiPriority w:val="29"/>
    <w:qFormat/>
    <w:rsid w:val="00412914"/>
    <w:pPr>
      <w:numPr>
        <w:numId w:val="3"/>
      </w:numPr>
      <w:spacing w:before="200" w:after="80"/>
      <w:ind w:left="720" w:right="446"/>
    </w:pPr>
    <w:rPr>
      <w:color w:val="20546B" w:themeColor="text2"/>
    </w:rPr>
  </w:style>
  <w:style w:type="character" w:customStyle="1" w:styleId="QuoteChar">
    <w:name w:val="Quote Char"/>
    <w:basedOn w:val="DefaultParagraphFont"/>
    <w:link w:val="Quote"/>
    <w:uiPriority w:val="29"/>
    <w:rsid w:val="006F73CE"/>
    <w:rPr>
      <w:rFonts w:cs="Times New Roman"/>
      <w:color w:val="20546B" w:themeColor="text2"/>
      <w:sz w:val="21"/>
      <w:szCs w:val="21"/>
    </w:rPr>
  </w:style>
  <w:style w:type="paragraph" w:customStyle="1" w:styleId="QuoteAuthor">
    <w:name w:val="Quote Author"/>
    <w:next w:val="Normal"/>
    <w:qFormat/>
    <w:rsid w:val="006F73CE"/>
    <w:pPr>
      <w:pBdr>
        <w:top w:val="single" w:sz="18" w:space="6" w:color="68DDF8" w:themeColor="accent1" w:themeTint="99"/>
      </w:pBdr>
      <w:spacing w:after="360"/>
      <w:ind w:left="720" w:right="547"/>
      <w:jc w:val="right"/>
    </w:pPr>
    <w:rPr>
      <w:rFonts w:ascii="Constantia" w:hAnsi="Constantia" w:cs="Arial"/>
      <w:b/>
      <w:bCs/>
      <w:i/>
      <w:iCs/>
      <w:color w:val="20546B" w:themeColor="text2"/>
      <w:sz w:val="18"/>
      <w:szCs w:val="18"/>
    </w:rPr>
  </w:style>
  <w:style w:type="table" w:styleId="GridTable4-Accent2">
    <w:name w:val="Grid Table 4 Accent 2"/>
    <w:basedOn w:val="TableNormal"/>
    <w:uiPriority w:val="49"/>
    <w:rsid w:val="006F73CE"/>
    <w:rPr>
      <w:rFonts w:ascii="Arial" w:hAnsi="Arial"/>
      <w:sz w:val="21"/>
    </w:rPr>
    <w:tblPr>
      <w:tblStyleRowBandSize w:val="1"/>
      <w:tblStyleColBandSize w:val="1"/>
      <w:tblBorders>
        <w:insideV w:val="single" w:sz="4" w:space="0" w:color="FFFFFF" w:themeColor="background1"/>
      </w:tblBorders>
    </w:tblPr>
    <w:tcPr>
      <w:vAlign w:val="center"/>
    </w:tcPr>
    <w:tblStylePr w:type="firstRow">
      <w:rPr>
        <w:b w:val="0"/>
        <w:bCs/>
        <w:color w:val="FFFFFF" w:themeColor="background1"/>
      </w:rPr>
      <w:tblPr/>
      <w:tcPr>
        <w:tcBorders>
          <w:top w:val="single" w:sz="4" w:space="0" w:color="8DC63F" w:themeColor="accent2"/>
          <w:left w:val="single" w:sz="4" w:space="0" w:color="8DC63F" w:themeColor="accent2"/>
          <w:bottom w:val="single" w:sz="4" w:space="0" w:color="8DC63F" w:themeColor="accent2"/>
          <w:right w:val="single" w:sz="4" w:space="0" w:color="8DC63F" w:themeColor="accent2"/>
          <w:insideH w:val="single" w:sz="4" w:space="0" w:color="FFFFFF" w:themeColor="background1"/>
          <w:insideV w:val="single" w:sz="4" w:space="0" w:color="FFFFFF" w:themeColor="background1"/>
        </w:tcBorders>
        <w:shd w:val="clear" w:color="auto" w:fill="8DC63F" w:themeFill="accent2"/>
      </w:tcPr>
    </w:tblStylePr>
    <w:tblStylePr w:type="lastRow">
      <w:rPr>
        <w:b/>
        <w:bCs/>
      </w:rPr>
    </w:tblStylePr>
    <w:tblStylePr w:type="firstCol">
      <w:rPr>
        <w:b/>
        <w:bCs/>
      </w:rPr>
    </w:tblStylePr>
    <w:tblStylePr w:type="lastCol">
      <w:rPr>
        <w:b/>
        <w:bCs/>
      </w:rPr>
    </w:tblStylePr>
    <w:tblStylePr w:type="band1Vert">
      <w:tblPr/>
      <w:tcPr>
        <w:tcBorders>
          <w:insideH w:val="single" w:sz="4" w:space="0" w:color="FFFFFF" w:themeColor="background1"/>
          <w:insideV w:val="single" w:sz="4" w:space="0" w:color="FFFFFF" w:themeColor="background1"/>
        </w:tcBorders>
        <w:shd w:val="clear" w:color="auto" w:fill="EDEEEF" w:themeFill="background2"/>
      </w:tcPr>
    </w:tblStylePr>
    <w:tblStylePr w:type="band2Vert">
      <w:tblPr/>
      <w:tcPr>
        <w:tcBorders>
          <w:insideH w:val="nil"/>
          <w:insideV w:val="nil"/>
        </w:tcBorders>
      </w:tcPr>
    </w:tblStylePr>
    <w:tblStylePr w:type="band1Horz">
      <w:tblPr/>
      <w:tcPr>
        <w:shd w:val="clear" w:color="auto" w:fill="EDEEEF" w:themeFill="background2"/>
      </w:tcPr>
    </w:tblStylePr>
  </w:style>
  <w:style w:type="table" w:styleId="PlainTable1">
    <w:name w:val="Plain Table 1"/>
    <w:basedOn w:val="TableNormal"/>
    <w:uiPriority w:val="41"/>
    <w:rsid w:val="006F73C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olumnHeading">
    <w:name w:val="Table Column Heading"/>
    <w:basedOn w:val="Normal"/>
    <w:qFormat/>
    <w:rsid w:val="006F73CE"/>
    <w:pPr>
      <w:spacing w:before="40" w:after="40" w:line="240" w:lineRule="auto"/>
    </w:pPr>
    <w:rPr>
      <w:rFonts w:ascii="Arial" w:hAnsi="Arial"/>
      <w:b/>
      <w:bCs/>
      <w:color w:val="FFFFFF" w:themeColor="background1"/>
      <w:sz w:val="20"/>
      <w:szCs w:val="20"/>
    </w:rPr>
  </w:style>
  <w:style w:type="paragraph" w:customStyle="1" w:styleId="TableFigureSource">
    <w:name w:val="Table/Figure Source"/>
    <w:basedOn w:val="Normal"/>
    <w:uiPriority w:val="7"/>
    <w:qFormat/>
    <w:rsid w:val="006F73CE"/>
    <w:pPr>
      <w:keepLines/>
      <w:spacing w:after="240"/>
    </w:pPr>
    <w:rPr>
      <w:rFonts w:ascii="Arial" w:hAnsi="Arial" w:cs="Arial"/>
      <w:sz w:val="17"/>
      <w:szCs w:val="17"/>
    </w:rPr>
  </w:style>
  <w:style w:type="paragraph" w:customStyle="1" w:styleId="TableNoteNumbered">
    <w:name w:val="Table Note Numbered"/>
    <w:basedOn w:val="Normal"/>
    <w:link w:val="TableNoteNumberedChar"/>
    <w:uiPriority w:val="1"/>
    <w:locked/>
    <w:rsid w:val="006F73CE"/>
    <w:pPr>
      <w:keepNext/>
      <w:keepLines/>
      <w:tabs>
        <w:tab w:val="num" w:pos="720"/>
      </w:tabs>
      <w:spacing w:before="60" w:after="60"/>
      <w:ind w:left="504" w:hanging="360"/>
    </w:pPr>
    <w:rPr>
      <w:rFonts w:cstheme="minorBidi"/>
      <w:sz w:val="18"/>
      <w:szCs w:val="24"/>
    </w:rPr>
  </w:style>
  <w:style w:type="character" w:customStyle="1" w:styleId="TableNoteNumberedChar">
    <w:name w:val="Table Note Numbered Char"/>
    <w:basedOn w:val="DefaultParagraphFont"/>
    <w:link w:val="TableNoteNumbered"/>
    <w:uiPriority w:val="1"/>
    <w:rsid w:val="006F73CE"/>
    <w:rPr>
      <w:color w:val="141414" w:themeColor="text1" w:themeShade="80"/>
      <w:sz w:val="18"/>
    </w:rPr>
  </w:style>
  <w:style w:type="paragraph" w:customStyle="1" w:styleId="References">
    <w:name w:val="References"/>
    <w:basedOn w:val="Normal"/>
    <w:uiPriority w:val="12"/>
    <w:rsid w:val="006F73CE"/>
    <w:pPr>
      <w:spacing w:after="240"/>
      <w:ind w:left="504" w:hanging="360"/>
    </w:pPr>
  </w:style>
  <w:style w:type="paragraph" w:customStyle="1" w:styleId="DocTitle">
    <w:name w:val="Doc Title"/>
    <w:qFormat/>
    <w:rsid w:val="006F73CE"/>
    <w:pPr>
      <w:spacing w:before="360" w:after="120"/>
      <w:ind w:right="1080"/>
    </w:pPr>
    <w:rPr>
      <w:rFonts w:asciiTheme="majorHAnsi" w:eastAsiaTheme="majorEastAsia" w:hAnsiTheme="majorHAnsi" w:cs="Arial"/>
      <w:b/>
      <w:bCs/>
      <w:color w:val="20546B" w:themeColor="text2"/>
      <w:spacing w:val="-4"/>
      <w:kern w:val="28"/>
      <w:sz w:val="52"/>
      <w:szCs w:val="52"/>
    </w:rPr>
  </w:style>
  <w:style w:type="table" w:customStyle="1" w:styleId="DarkBlue">
    <w:name w:val="Dark Blue"/>
    <w:basedOn w:val="TableNormal"/>
    <w:uiPriority w:val="99"/>
    <w:rsid w:val="00A33A56"/>
    <w:rPr>
      <w:sz w:val="22"/>
      <w:szCs w:val="22"/>
    </w:rPr>
    <w:tblPr>
      <w:tblStyleRowBandSize w:val="1"/>
    </w:tblPr>
    <w:tblStylePr w:type="firstRow">
      <w:rPr>
        <w:rFonts w:ascii="Arial Black" w:hAnsi="Arial Black"/>
        <w:b/>
        <w:color w:val="FFFFFF" w:themeColor="background1"/>
      </w:rPr>
      <w:tblPr/>
      <w:tcPr>
        <w:tcBorders>
          <w:top w:val="nil"/>
          <w:left w:val="nil"/>
          <w:bottom w:val="nil"/>
          <w:right w:val="nil"/>
          <w:insideH w:val="single" w:sz="4" w:space="0" w:color="FFFFFF" w:themeColor="background1"/>
          <w:insideV w:val="single" w:sz="4" w:space="0" w:color="FFFFFF" w:themeColor="background1"/>
        </w:tcBorders>
        <w:shd w:val="clear" w:color="auto" w:fill="EDEEEF" w:themeFill="background2"/>
      </w:tcPr>
    </w:tblStylePr>
    <w:tblStylePr w:type="band1Horz">
      <w:rPr>
        <w:rFonts w:ascii="Arial Black" w:hAnsi="Arial Black"/>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BFBFB" w:themeFill="background2" w:themeFillTint="33"/>
      </w:tcPr>
    </w:tblStylePr>
    <w:tblStylePr w:type="band2Horz">
      <w:rPr>
        <w:rFonts w:ascii="Arial Black" w:hAnsi="Arial Black"/>
      </w:rPr>
      <w:tblPr/>
      <w:tcPr>
        <w:tcBorders>
          <w:insideH w:val="single" w:sz="4" w:space="0" w:color="FFFFFF" w:themeColor="background1"/>
          <w:insideV w:val="single" w:sz="4" w:space="0" w:color="FFFFFF" w:themeColor="background1"/>
        </w:tcBorders>
        <w:shd w:val="clear" w:color="auto" w:fill="ECF2F8"/>
      </w:tcPr>
    </w:tblStylePr>
  </w:style>
  <w:style w:type="paragraph" w:styleId="Subtitle">
    <w:name w:val="Subtitle"/>
    <w:basedOn w:val="Normal"/>
    <w:next w:val="Normal"/>
    <w:link w:val="SubtitleChar"/>
    <w:uiPriority w:val="11"/>
    <w:qFormat/>
    <w:rsid w:val="006F73CE"/>
    <w:pPr>
      <w:spacing w:after="240"/>
    </w:pPr>
    <w:rPr>
      <w:rFonts w:ascii="Arial" w:hAnsi="Arial" w:cs="Arial"/>
      <w:color w:val="70777E" w:themeColor="background2" w:themeShade="80"/>
      <w:sz w:val="30"/>
      <w:szCs w:val="30"/>
    </w:rPr>
  </w:style>
  <w:style w:type="character" w:customStyle="1" w:styleId="SubtitleChar">
    <w:name w:val="Subtitle Char"/>
    <w:basedOn w:val="DefaultParagraphFont"/>
    <w:link w:val="Subtitle"/>
    <w:uiPriority w:val="11"/>
    <w:rsid w:val="006F73CE"/>
    <w:rPr>
      <w:rFonts w:ascii="Arial" w:hAnsi="Arial" w:cs="Arial"/>
      <w:color w:val="70777E" w:themeColor="background2" w:themeShade="80"/>
      <w:sz w:val="30"/>
      <w:szCs w:val="30"/>
    </w:rPr>
  </w:style>
  <w:style w:type="paragraph" w:customStyle="1" w:styleId="LegalDisclaimer">
    <w:name w:val="Legal / Disclaimer"/>
    <w:basedOn w:val="Normal"/>
    <w:qFormat/>
    <w:rsid w:val="006F73CE"/>
    <w:pPr>
      <w:spacing w:after="0" w:line="240" w:lineRule="auto"/>
    </w:pPr>
    <w:rPr>
      <w:i/>
      <w:iCs/>
      <w:color w:val="737373" w:themeColor="text1" w:themeTint="A6"/>
      <w:sz w:val="15"/>
      <w:szCs w:val="15"/>
    </w:rPr>
  </w:style>
  <w:style w:type="paragraph" w:customStyle="1" w:styleId="TOCHeader">
    <w:name w:val="TOC Header"/>
    <w:basedOn w:val="TOC1"/>
    <w:qFormat/>
    <w:rsid w:val="006F73CE"/>
    <w:pPr>
      <w:spacing w:after="80"/>
    </w:pPr>
  </w:style>
  <w:style w:type="paragraph" w:customStyle="1" w:styleId="TableTitle">
    <w:name w:val="Table # &amp; Title"/>
    <w:basedOn w:val="Normal"/>
    <w:qFormat/>
    <w:rsid w:val="006F73CE"/>
    <w:pPr>
      <w:keepNext/>
      <w:spacing w:before="240" w:after="80" w:line="240" w:lineRule="auto"/>
    </w:pPr>
    <w:rPr>
      <w:rFonts w:eastAsia="Calibri" w:cstheme="minorHAnsi"/>
      <w:b/>
      <w:bCs/>
      <w:color w:val="auto"/>
      <w14:numForm w14:val="lining"/>
    </w:rPr>
  </w:style>
  <w:style w:type="table" w:customStyle="1" w:styleId="TECHtable">
    <w:name w:val="TECH table"/>
    <w:basedOn w:val="GridTable4-Accent2"/>
    <w:uiPriority w:val="99"/>
    <w:rsid w:val="00412914"/>
    <w:rPr>
      <w:color w:val="FFFFFF" w:themeColor="background1"/>
      <w:sz w:val="20"/>
    </w:rPr>
    <w:tblPr/>
    <w:tblStylePr w:type="firstRow">
      <w:pPr>
        <w:jc w:val="left"/>
      </w:pPr>
      <w:rPr>
        <w:rFonts w:ascii="Arial" w:hAnsi="Arial"/>
        <w:b/>
        <w:bCs/>
        <w:color w:val="FFFFFF" w:themeColor="background1"/>
        <w:sz w:val="20"/>
      </w:rPr>
      <w:tblPr/>
      <w:tcPr>
        <w:tcBorders>
          <w:top w:val="single" w:sz="4" w:space="0" w:color="8DC63F" w:themeColor="accent2"/>
          <w:left w:val="single" w:sz="4" w:space="0" w:color="8DC63F" w:themeColor="accent2"/>
          <w:bottom w:val="single" w:sz="4" w:space="0" w:color="8DC63F" w:themeColor="accent2"/>
          <w:right w:val="single" w:sz="4" w:space="0" w:color="8DC63F" w:themeColor="accent2"/>
          <w:insideH w:val="single" w:sz="4" w:space="0" w:color="FFFFFF" w:themeColor="background1"/>
          <w:insideV w:val="single" w:sz="4" w:space="0" w:color="FFFFFF" w:themeColor="background1"/>
        </w:tcBorders>
        <w:shd w:val="clear" w:color="auto" w:fill="8DC63F" w:themeFill="accent2"/>
      </w:tcPr>
    </w:tblStylePr>
    <w:tblStylePr w:type="lastRow">
      <w:rPr>
        <w:b/>
        <w:bCs/>
      </w:rPr>
    </w:tblStylePr>
    <w:tblStylePr w:type="firstCol">
      <w:rPr>
        <w:rFonts w:ascii="Arial" w:hAnsi="Arial"/>
        <w:b/>
        <w:bCs/>
        <w:color w:val="282828" w:themeColor="text1"/>
        <w:sz w:val="20"/>
      </w:rPr>
    </w:tblStylePr>
    <w:tblStylePr w:type="lastCol">
      <w:rPr>
        <w:b/>
        <w:bCs/>
      </w:rPr>
    </w:tblStylePr>
    <w:tblStylePr w:type="band1Vert">
      <w:tblPr/>
      <w:tcPr>
        <w:tcBorders>
          <w:insideH w:val="single" w:sz="4" w:space="0" w:color="FFFFFF" w:themeColor="background1"/>
          <w:insideV w:val="single" w:sz="4" w:space="0" w:color="FFFFFF" w:themeColor="background1"/>
        </w:tcBorders>
        <w:shd w:val="clear" w:color="auto" w:fill="EDEEEF" w:themeFill="background2"/>
      </w:tcPr>
    </w:tblStylePr>
    <w:tblStylePr w:type="band2Vert">
      <w:tblPr/>
      <w:tcPr>
        <w:tcBorders>
          <w:insideH w:val="nil"/>
          <w:insideV w:val="nil"/>
        </w:tcBorders>
      </w:tcPr>
    </w:tblStylePr>
    <w:tblStylePr w:type="band1Horz">
      <w:rPr>
        <w:rFonts w:ascii="Arial" w:hAnsi="Arial"/>
        <w:color w:val="282828" w:themeColor="text1"/>
        <w:sz w:val="20"/>
      </w:rPr>
      <w:tblPr/>
      <w:tcPr>
        <w:shd w:val="clear" w:color="auto" w:fill="EDEEEF" w:themeFill="background2"/>
      </w:tcPr>
    </w:tblStylePr>
    <w:tblStylePr w:type="band2Horz">
      <w:rPr>
        <w:rFonts w:ascii="Arial" w:hAnsi="Arial"/>
        <w:sz w:val="20"/>
      </w:rPr>
    </w:tblStylePr>
  </w:style>
  <w:style w:type="paragraph" w:customStyle="1" w:styleId="Cover-ReportType">
    <w:name w:val="Cover - Report Type"/>
    <w:basedOn w:val="Normal"/>
    <w:qFormat/>
    <w:rsid w:val="006F73CE"/>
    <w:pPr>
      <w:spacing w:before="0" w:line="240" w:lineRule="auto"/>
    </w:pPr>
    <w:rPr>
      <w:rFonts w:ascii="Arial" w:eastAsiaTheme="majorEastAsia" w:hAnsi="Arial" w:cs="Arial"/>
      <w:b/>
      <w:caps/>
      <w:color w:val="ADB2B6" w:themeColor="background2" w:themeShade="BF"/>
      <w:spacing w:val="20"/>
      <w:kern w:val="28"/>
      <w:sz w:val="20"/>
      <w:szCs w:val="52"/>
    </w:rPr>
  </w:style>
  <w:style w:type="paragraph" w:customStyle="1" w:styleId="CoverPageInfo">
    <w:name w:val="Cover Page Info"/>
    <w:basedOn w:val="Normal"/>
    <w:qFormat/>
    <w:rsid w:val="006F73CE"/>
    <w:pPr>
      <w:spacing w:before="0" w:after="0"/>
    </w:pPr>
  </w:style>
  <w:style w:type="paragraph" w:styleId="ListParagraph">
    <w:name w:val="List Paragraph"/>
    <w:aliases w:val="List Paragraph_AP,TT - Numbered List Paragraph,Nexant List Paragraph,Bullet Styles para,H3,3,POCG Table Text,Resume Bullett,PECI Bullets (Content),PECI Bullets,List Paragraph1,List Paragraph - RFP,CR-Bullet,Sidebar"/>
    <w:basedOn w:val="Normal"/>
    <w:link w:val="ListParagraphChar"/>
    <w:uiPriority w:val="34"/>
    <w:qFormat/>
    <w:rsid w:val="00BE3C9F"/>
    <w:pPr>
      <w:numPr>
        <w:numId w:val="6"/>
      </w:numPr>
      <w:contextualSpacing/>
    </w:pPr>
  </w:style>
  <w:style w:type="character" w:customStyle="1" w:styleId="ListParagraphChar">
    <w:name w:val="List Paragraph Char"/>
    <w:aliases w:val="List Paragraph_AP Char,TT - Numbered List Paragraph Char,Nexant List Paragraph Char,Bullet Styles para Char,H3 Char,3 Char,POCG Table Text Char,Resume Bullett Char,PECI Bullets (Content) Char,PECI Bullets Char,List Paragraph1 Char"/>
    <w:link w:val="ListParagraph"/>
    <w:uiPriority w:val="34"/>
    <w:rsid w:val="0055319E"/>
    <w:rPr>
      <w:rFonts w:cs="Times New Roman"/>
      <w:color w:val="141414" w:themeColor="text1" w:themeShade="80"/>
      <w:sz w:val="21"/>
      <w:szCs w:val="21"/>
    </w:rPr>
  </w:style>
  <w:style w:type="character" w:customStyle="1" w:styleId="Heading7Char">
    <w:name w:val="Heading 7 Char"/>
    <w:basedOn w:val="DefaultParagraphFont"/>
    <w:link w:val="Heading7"/>
    <w:uiPriority w:val="9"/>
    <w:semiHidden/>
    <w:rsid w:val="00AC4716"/>
    <w:rPr>
      <w:rFonts w:asciiTheme="majorHAnsi" w:eastAsiaTheme="majorEastAsia" w:hAnsiTheme="majorHAnsi" w:cstheme="majorBidi"/>
      <w:i/>
      <w:iCs/>
      <w:color w:val="056177" w:themeColor="accent1" w:themeShade="7F"/>
      <w:sz w:val="21"/>
      <w:szCs w:val="21"/>
    </w:rPr>
  </w:style>
  <w:style w:type="character" w:customStyle="1" w:styleId="Heading8Char">
    <w:name w:val="Heading 8 Char"/>
    <w:basedOn w:val="DefaultParagraphFont"/>
    <w:link w:val="Heading8"/>
    <w:uiPriority w:val="9"/>
    <w:rsid w:val="00AC4716"/>
    <w:rPr>
      <w:rFonts w:asciiTheme="majorHAnsi" w:eastAsiaTheme="majorEastAsia" w:hAnsiTheme="majorHAnsi" w:cstheme="majorBidi"/>
      <w:color w:val="484848" w:themeColor="text1" w:themeTint="D8"/>
      <w:sz w:val="21"/>
      <w:szCs w:val="21"/>
    </w:rPr>
  </w:style>
  <w:style w:type="character" w:customStyle="1" w:styleId="Heading9Char">
    <w:name w:val="Heading 9 Char"/>
    <w:basedOn w:val="DefaultParagraphFont"/>
    <w:link w:val="Heading9"/>
    <w:uiPriority w:val="9"/>
    <w:semiHidden/>
    <w:rsid w:val="00AC4716"/>
    <w:rPr>
      <w:rFonts w:asciiTheme="majorHAnsi" w:eastAsiaTheme="majorEastAsia" w:hAnsiTheme="majorHAnsi" w:cstheme="majorBidi"/>
      <w:i/>
      <w:iCs/>
      <w:color w:val="484848" w:themeColor="text1" w:themeTint="D8"/>
      <w:sz w:val="21"/>
      <w:szCs w:val="21"/>
    </w:rPr>
  </w:style>
  <w:style w:type="paragraph" w:styleId="Title">
    <w:name w:val="Title"/>
    <w:aliases w:val="Closing / Signature"/>
    <w:basedOn w:val="Normal"/>
    <w:next w:val="Normal"/>
    <w:link w:val="TitleChar"/>
    <w:uiPriority w:val="10"/>
    <w:qFormat/>
    <w:rsid w:val="00AC4716"/>
    <w:pPr>
      <w:contextualSpacing/>
    </w:pPr>
    <w:rPr>
      <w:rFonts w:ascii="Century Gothic" w:eastAsiaTheme="majorEastAsia" w:hAnsi="Century Gothic" w:cstheme="majorBidi"/>
      <w:color w:val="20546B"/>
      <w:spacing w:val="-10"/>
      <w:kern w:val="28"/>
      <w:sz w:val="52"/>
      <w:szCs w:val="52"/>
    </w:rPr>
  </w:style>
  <w:style w:type="character" w:customStyle="1" w:styleId="TitleChar">
    <w:name w:val="Title Char"/>
    <w:aliases w:val="Closing / Signature Char"/>
    <w:basedOn w:val="DefaultParagraphFont"/>
    <w:link w:val="Title"/>
    <w:uiPriority w:val="10"/>
    <w:rsid w:val="00AC4716"/>
    <w:rPr>
      <w:rFonts w:ascii="Century Gothic" w:eastAsiaTheme="majorEastAsia" w:hAnsi="Century Gothic" w:cstheme="majorBidi"/>
      <w:color w:val="20546B"/>
      <w:spacing w:val="-10"/>
      <w:kern w:val="28"/>
      <w:sz w:val="52"/>
      <w:szCs w:val="52"/>
    </w:rPr>
  </w:style>
  <w:style w:type="paragraph" w:styleId="NormalWeb">
    <w:name w:val="Normal (Web)"/>
    <w:aliases w:val="Normal (Web) Char,Normal (Web) Char Char Char,Normal (Web) Char Char1,Normal (Web) Char Char Char Char"/>
    <w:basedOn w:val="Normal"/>
    <w:link w:val="NormalWebChar1"/>
    <w:uiPriority w:val="99"/>
    <w:unhideWhenUsed/>
    <w:qFormat/>
    <w:rsid w:val="00AC4716"/>
    <w:pPr>
      <w:spacing w:before="100" w:beforeAutospacing="1" w:after="100" w:afterAutospacing="1"/>
    </w:pPr>
  </w:style>
  <w:style w:type="character" w:customStyle="1" w:styleId="NormalWebChar1">
    <w:name w:val="Normal (Web) Char1"/>
    <w:aliases w:val="Normal (Web) Char Char,Normal (Web) Char Char Char Char1,Normal (Web) Char Char1 Char,Normal (Web) Char Char Char Char Char"/>
    <w:basedOn w:val="DefaultParagraphFont"/>
    <w:link w:val="NormalWeb"/>
    <w:uiPriority w:val="99"/>
    <w:locked/>
    <w:rsid w:val="00AC4716"/>
    <w:rPr>
      <w:rFonts w:cs="Times New Roman"/>
      <w:color w:val="141414" w:themeColor="text1" w:themeShade="80"/>
      <w:sz w:val="21"/>
      <w:szCs w:val="21"/>
    </w:rPr>
  </w:style>
  <w:style w:type="paragraph" w:styleId="BalloonText">
    <w:name w:val="Balloon Text"/>
    <w:basedOn w:val="Normal"/>
    <w:link w:val="BalloonTextChar"/>
    <w:uiPriority w:val="99"/>
    <w:semiHidden/>
    <w:unhideWhenUsed/>
    <w:rsid w:val="00AC47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716"/>
    <w:rPr>
      <w:rFonts w:ascii="Segoe UI" w:hAnsi="Segoe UI" w:cs="Segoe UI"/>
      <w:color w:val="141414" w:themeColor="text1" w:themeShade="80"/>
      <w:sz w:val="18"/>
      <w:szCs w:val="18"/>
    </w:rPr>
  </w:style>
  <w:style w:type="paragraph" w:styleId="IntenseQuote">
    <w:name w:val="Intense Quote"/>
    <w:basedOn w:val="Normal"/>
    <w:next w:val="Normal"/>
    <w:link w:val="IntenseQuoteChar"/>
    <w:uiPriority w:val="30"/>
    <w:qFormat/>
    <w:rsid w:val="00AC4716"/>
    <w:pPr>
      <w:pBdr>
        <w:top w:val="single" w:sz="4" w:space="10" w:color="0AC3EF" w:themeColor="accent1"/>
        <w:bottom w:val="single" w:sz="4" w:space="10" w:color="0AC3EF" w:themeColor="accent1"/>
      </w:pBdr>
      <w:spacing w:before="360" w:after="360"/>
      <w:ind w:left="864" w:right="864"/>
      <w:jc w:val="center"/>
    </w:pPr>
    <w:rPr>
      <w:i/>
      <w:iCs/>
      <w:color w:val="0AC3EF" w:themeColor="accent1"/>
    </w:rPr>
  </w:style>
  <w:style w:type="character" w:customStyle="1" w:styleId="IntenseQuoteChar">
    <w:name w:val="Intense Quote Char"/>
    <w:basedOn w:val="DefaultParagraphFont"/>
    <w:link w:val="IntenseQuote"/>
    <w:uiPriority w:val="30"/>
    <w:rsid w:val="00AC4716"/>
    <w:rPr>
      <w:rFonts w:cs="Times New Roman"/>
      <w:i/>
      <w:iCs/>
      <w:color w:val="0AC3EF" w:themeColor="accent1"/>
      <w:sz w:val="21"/>
      <w:szCs w:val="21"/>
    </w:rPr>
  </w:style>
  <w:style w:type="table" w:styleId="GridTable2-Accent1">
    <w:name w:val="Grid Table 2 Accent 1"/>
    <w:basedOn w:val="TableNormal"/>
    <w:uiPriority w:val="47"/>
    <w:rsid w:val="00AC4716"/>
    <w:rPr>
      <w:sz w:val="22"/>
      <w:szCs w:val="22"/>
    </w:rPr>
    <w:tblPr>
      <w:tblStyleRowBandSize w:val="1"/>
      <w:tblStyleColBandSize w:val="1"/>
      <w:tblBorders>
        <w:top w:val="single" w:sz="2" w:space="0" w:color="68DDF8" w:themeColor="accent1" w:themeTint="99"/>
        <w:bottom w:val="single" w:sz="2" w:space="0" w:color="68DDF8" w:themeColor="accent1" w:themeTint="99"/>
        <w:insideH w:val="single" w:sz="2" w:space="0" w:color="68DDF8" w:themeColor="accent1" w:themeTint="99"/>
        <w:insideV w:val="single" w:sz="2" w:space="0" w:color="68DDF8" w:themeColor="accent1" w:themeTint="99"/>
      </w:tblBorders>
    </w:tblPr>
    <w:tblStylePr w:type="firstRow">
      <w:rPr>
        <w:b/>
        <w:bCs/>
      </w:rPr>
      <w:tblPr/>
      <w:tcPr>
        <w:tcBorders>
          <w:top w:val="nil"/>
          <w:bottom w:val="single" w:sz="12" w:space="0" w:color="68DDF8" w:themeColor="accent1" w:themeTint="99"/>
          <w:insideH w:val="nil"/>
          <w:insideV w:val="nil"/>
        </w:tcBorders>
        <w:shd w:val="clear" w:color="auto" w:fill="FFFFFF" w:themeFill="background1"/>
      </w:tcPr>
    </w:tblStylePr>
    <w:tblStylePr w:type="lastRow">
      <w:rPr>
        <w:b/>
        <w:bCs/>
      </w:rPr>
      <w:tblPr/>
      <w:tcPr>
        <w:tcBorders>
          <w:top w:val="double" w:sz="2" w:space="0" w:color="68DDF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F3FD" w:themeFill="accent1" w:themeFillTint="33"/>
      </w:tcPr>
    </w:tblStylePr>
    <w:tblStylePr w:type="band1Horz">
      <w:tblPr/>
      <w:tcPr>
        <w:shd w:val="clear" w:color="auto" w:fill="CCF3FD" w:themeFill="accent1" w:themeFillTint="33"/>
      </w:tcPr>
    </w:tblStylePr>
  </w:style>
  <w:style w:type="table" w:styleId="GridTable3-Accent4">
    <w:name w:val="Grid Table 3 Accent 4"/>
    <w:basedOn w:val="TableNormal"/>
    <w:uiPriority w:val="48"/>
    <w:rsid w:val="00AC4716"/>
    <w:rPr>
      <w:sz w:val="22"/>
      <w:szCs w:val="22"/>
    </w:rPr>
    <w:tblPr>
      <w:tblStyleRowBandSize w:val="1"/>
      <w:tblStyleColBandSize w:val="1"/>
      <w:tblBorders>
        <w:top w:val="single" w:sz="4" w:space="0" w:color="8EE4DD" w:themeColor="accent4" w:themeTint="99"/>
        <w:left w:val="single" w:sz="4" w:space="0" w:color="8EE4DD" w:themeColor="accent4" w:themeTint="99"/>
        <w:bottom w:val="single" w:sz="4" w:space="0" w:color="8EE4DD" w:themeColor="accent4" w:themeTint="99"/>
        <w:right w:val="single" w:sz="4" w:space="0" w:color="8EE4DD" w:themeColor="accent4" w:themeTint="99"/>
        <w:insideH w:val="single" w:sz="4" w:space="0" w:color="8EE4DD" w:themeColor="accent4" w:themeTint="99"/>
        <w:insideV w:val="single" w:sz="4" w:space="0" w:color="8EE4D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6F4" w:themeFill="accent4" w:themeFillTint="33"/>
      </w:tcPr>
    </w:tblStylePr>
    <w:tblStylePr w:type="band1Horz">
      <w:tblPr/>
      <w:tcPr>
        <w:shd w:val="clear" w:color="auto" w:fill="D9F6F4" w:themeFill="accent4" w:themeFillTint="33"/>
      </w:tcPr>
    </w:tblStylePr>
    <w:tblStylePr w:type="neCell">
      <w:tblPr/>
      <w:tcPr>
        <w:tcBorders>
          <w:bottom w:val="single" w:sz="4" w:space="0" w:color="8EE4DD" w:themeColor="accent4" w:themeTint="99"/>
        </w:tcBorders>
      </w:tcPr>
    </w:tblStylePr>
    <w:tblStylePr w:type="nwCell">
      <w:tblPr/>
      <w:tcPr>
        <w:tcBorders>
          <w:bottom w:val="single" w:sz="4" w:space="0" w:color="8EE4DD" w:themeColor="accent4" w:themeTint="99"/>
        </w:tcBorders>
      </w:tcPr>
    </w:tblStylePr>
    <w:tblStylePr w:type="seCell">
      <w:tblPr/>
      <w:tcPr>
        <w:tcBorders>
          <w:top w:val="single" w:sz="4" w:space="0" w:color="8EE4DD" w:themeColor="accent4" w:themeTint="99"/>
        </w:tcBorders>
      </w:tcPr>
    </w:tblStylePr>
    <w:tblStylePr w:type="swCell">
      <w:tblPr/>
      <w:tcPr>
        <w:tcBorders>
          <w:top w:val="single" w:sz="4" w:space="0" w:color="8EE4DD" w:themeColor="accent4" w:themeTint="99"/>
        </w:tcBorders>
      </w:tcPr>
    </w:tblStylePr>
  </w:style>
  <w:style w:type="paragraph" w:styleId="NoSpacing">
    <w:name w:val="No Spacing"/>
    <w:aliases w:val="Intro,Bold / No Spacing"/>
    <w:uiPriority w:val="1"/>
    <w:qFormat/>
    <w:rsid w:val="00AC4716"/>
    <w:rPr>
      <w:rFonts w:ascii="Times New Roman" w:eastAsia="Times New Roman" w:hAnsi="Times New Roman" w:cs="Times New Roman"/>
    </w:rPr>
  </w:style>
  <w:style w:type="table" w:styleId="GridTable3-Accent1">
    <w:name w:val="Grid Table 3 Accent 1"/>
    <w:basedOn w:val="TableNormal"/>
    <w:uiPriority w:val="48"/>
    <w:rsid w:val="00AC4716"/>
    <w:rPr>
      <w:sz w:val="22"/>
      <w:szCs w:val="22"/>
    </w:rPr>
    <w:tblPr>
      <w:tblStyleRowBandSize w:val="1"/>
      <w:tblStyleColBandSize w:val="1"/>
      <w:tblBorders>
        <w:top w:val="single" w:sz="4" w:space="0" w:color="68DDF8" w:themeColor="accent1" w:themeTint="99"/>
        <w:left w:val="single" w:sz="4" w:space="0" w:color="68DDF8" w:themeColor="accent1" w:themeTint="99"/>
        <w:bottom w:val="single" w:sz="4" w:space="0" w:color="68DDF8" w:themeColor="accent1" w:themeTint="99"/>
        <w:right w:val="single" w:sz="4" w:space="0" w:color="68DDF8" w:themeColor="accent1" w:themeTint="99"/>
        <w:insideH w:val="single" w:sz="4" w:space="0" w:color="68DDF8" w:themeColor="accent1" w:themeTint="99"/>
        <w:insideV w:val="single" w:sz="4" w:space="0" w:color="68DDF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F3FD" w:themeFill="accent1" w:themeFillTint="33"/>
      </w:tcPr>
    </w:tblStylePr>
    <w:tblStylePr w:type="band1Horz">
      <w:tblPr/>
      <w:tcPr>
        <w:shd w:val="clear" w:color="auto" w:fill="CCF3FD" w:themeFill="accent1" w:themeFillTint="33"/>
      </w:tcPr>
    </w:tblStylePr>
    <w:tblStylePr w:type="neCell">
      <w:tblPr/>
      <w:tcPr>
        <w:tcBorders>
          <w:bottom w:val="single" w:sz="4" w:space="0" w:color="68DDF8" w:themeColor="accent1" w:themeTint="99"/>
        </w:tcBorders>
      </w:tcPr>
    </w:tblStylePr>
    <w:tblStylePr w:type="nwCell">
      <w:tblPr/>
      <w:tcPr>
        <w:tcBorders>
          <w:bottom w:val="single" w:sz="4" w:space="0" w:color="68DDF8" w:themeColor="accent1" w:themeTint="99"/>
        </w:tcBorders>
      </w:tcPr>
    </w:tblStylePr>
    <w:tblStylePr w:type="seCell">
      <w:tblPr/>
      <w:tcPr>
        <w:tcBorders>
          <w:top w:val="single" w:sz="4" w:space="0" w:color="68DDF8" w:themeColor="accent1" w:themeTint="99"/>
        </w:tcBorders>
      </w:tcPr>
    </w:tblStylePr>
    <w:tblStylePr w:type="swCell">
      <w:tblPr/>
      <w:tcPr>
        <w:tcBorders>
          <w:top w:val="single" w:sz="4" w:space="0" w:color="68DDF8" w:themeColor="accent1" w:themeTint="99"/>
        </w:tcBorders>
      </w:tcPr>
    </w:tblStylePr>
  </w:style>
  <w:style w:type="character" w:customStyle="1" w:styleId="FootnoteTextChar1">
    <w:name w:val="Footnote Text Char1"/>
    <w:semiHidden/>
    <w:locked/>
    <w:rsid w:val="00AC4716"/>
    <w:rPr>
      <w:rFonts w:ascii="Times New Roman" w:eastAsia="Times New Roman" w:hAnsi="Times New Roman" w:cs="Times New Roman"/>
      <w:sz w:val="20"/>
      <w:szCs w:val="20"/>
      <w:lang w:val="x-none" w:eastAsia="x-none"/>
    </w:rPr>
  </w:style>
  <w:style w:type="table" w:styleId="GridTable6Colorful">
    <w:name w:val="Grid Table 6 Colorful"/>
    <w:basedOn w:val="TableNormal"/>
    <w:uiPriority w:val="51"/>
    <w:rsid w:val="00AC4716"/>
    <w:rPr>
      <w:color w:val="282828" w:themeColor="text1"/>
      <w:sz w:val="22"/>
      <w:szCs w:val="22"/>
    </w:rPr>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Pr>
    <w:tblStylePr w:type="firstRow">
      <w:rPr>
        <w:b/>
        <w:bCs/>
      </w:rPr>
      <w:tblPr/>
      <w:tcPr>
        <w:tcBorders>
          <w:bottom w:val="single" w:sz="12" w:space="0" w:color="7E7E7E" w:themeColor="text1" w:themeTint="99"/>
        </w:tcBorders>
      </w:tcPr>
    </w:tblStylePr>
    <w:tblStylePr w:type="lastRow">
      <w:rPr>
        <w:b/>
        <w:bCs/>
      </w:rPr>
      <w:tblPr/>
      <w:tcPr>
        <w:tcBorders>
          <w:top w:val="double" w:sz="4" w:space="0" w:color="7E7E7E" w:themeColor="text1" w:themeTint="99"/>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GridTable4">
    <w:name w:val="Grid Table 4"/>
    <w:basedOn w:val="TableNormal"/>
    <w:uiPriority w:val="49"/>
    <w:rsid w:val="00AC4716"/>
    <w:rPr>
      <w:sz w:val="22"/>
      <w:szCs w:val="22"/>
    </w:rPr>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Pr>
    <w:tblStylePr w:type="firstRow">
      <w:rPr>
        <w:b/>
        <w:bCs/>
        <w:color w:val="FFFFFF" w:themeColor="background1"/>
      </w:rPr>
      <w:tblPr/>
      <w:tcPr>
        <w:tcBorders>
          <w:top w:val="single" w:sz="4" w:space="0" w:color="282828" w:themeColor="text1"/>
          <w:left w:val="single" w:sz="4" w:space="0" w:color="282828" w:themeColor="text1"/>
          <w:bottom w:val="single" w:sz="4" w:space="0" w:color="282828" w:themeColor="text1"/>
          <w:right w:val="single" w:sz="4" w:space="0" w:color="282828" w:themeColor="text1"/>
          <w:insideH w:val="nil"/>
          <w:insideV w:val="nil"/>
        </w:tcBorders>
        <w:shd w:val="clear" w:color="auto" w:fill="282828" w:themeFill="text1"/>
      </w:tcPr>
    </w:tblStylePr>
    <w:tblStylePr w:type="lastRow">
      <w:rPr>
        <w:b/>
        <w:bCs/>
      </w:rPr>
      <w:tblPr/>
      <w:tcPr>
        <w:tcBorders>
          <w:top w:val="double" w:sz="4" w:space="0" w:color="282828"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GridTable5Dark-Accent1">
    <w:name w:val="Grid Table 5 Dark Accent 1"/>
    <w:basedOn w:val="TableNormal"/>
    <w:uiPriority w:val="50"/>
    <w:rsid w:val="00AC4716"/>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F3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C3E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C3E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C3E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C3EF" w:themeFill="accent1"/>
      </w:tcPr>
    </w:tblStylePr>
    <w:tblStylePr w:type="band1Vert">
      <w:tblPr/>
      <w:tcPr>
        <w:shd w:val="clear" w:color="auto" w:fill="9AE8FA" w:themeFill="accent1" w:themeFillTint="66"/>
      </w:tcPr>
    </w:tblStylePr>
    <w:tblStylePr w:type="band1Horz">
      <w:tblPr/>
      <w:tcPr>
        <w:shd w:val="clear" w:color="auto" w:fill="9AE8FA" w:themeFill="accent1" w:themeFillTint="66"/>
      </w:tcPr>
    </w:tblStylePr>
  </w:style>
  <w:style w:type="table" w:styleId="GridTable5Dark-Accent6">
    <w:name w:val="Grid Table 5 Dark Accent 6"/>
    <w:basedOn w:val="TableNormal"/>
    <w:uiPriority w:val="50"/>
    <w:rsid w:val="00AC4716"/>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BD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BD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BD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BD00" w:themeFill="accent6"/>
      </w:tcPr>
    </w:tblStylePr>
    <w:tblStylePr w:type="band1Vert">
      <w:tblPr/>
      <w:tcPr>
        <w:shd w:val="clear" w:color="auto" w:fill="FFE990" w:themeFill="accent6" w:themeFillTint="66"/>
      </w:tcPr>
    </w:tblStylePr>
    <w:tblStylePr w:type="band1Horz">
      <w:tblPr/>
      <w:tcPr>
        <w:shd w:val="clear" w:color="auto" w:fill="FFE990" w:themeFill="accent6" w:themeFillTint="66"/>
      </w:tcPr>
    </w:tblStylePr>
  </w:style>
  <w:style w:type="paragraph" w:styleId="EndnoteText">
    <w:name w:val="endnote text"/>
    <w:basedOn w:val="Normal"/>
    <w:link w:val="EndnoteTextChar"/>
    <w:uiPriority w:val="99"/>
    <w:semiHidden/>
    <w:unhideWhenUsed/>
    <w:rsid w:val="00AC4716"/>
    <w:rPr>
      <w:sz w:val="20"/>
      <w:szCs w:val="20"/>
    </w:rPr>
  </w:style>
  <w:style w:type="character" w:customStyle="1" w:styleId="EndnoteTextChar">
    <w:name w:val="Endnote Text Char"/>
    <w:basedOn w:val="DefaultParagraphFont"/>
    <w:link w:val="EndnoteText"/>
    <w:uiPriority w:val="99"/>
    <w:semiHidden/>
    <w:rsid w:val="00AC4716"/>
    <w:rPr>
      <w:rFonts w:cs="Times New Roman"/>
      <w:color w:val="141414" w:themeColor="text1" w:themeShade="80"/>
      <w:sz w:val="20"/>
      <w:szCs w:val="20"/>
    </w:rPr>
  </w:style>
  <w:style w:type="character" w:styleId="EndnoteReference">
    <w:name w:val="endnote reference"/>
    <w:basedOn w:val="DefaultParagraphFont"/>
    <w:uiPriority w:val="99"/>
    <w:semiHidden/>
    <w:unhideWhenUsed/>
    <w:rsid w:val="00AC4716"/>
    <w:rPr>
      <w:vertAlign w:val="superscript"/>
    </w:rPr>
  </w:style>
  <w:style w:type="table" w:styleId="TableGridLight">
    <w:name w:val="Grid Table Light"/>
    <w:basedOn w:val="TableNormal"/>
    <w:uiPriority w:val="40"/>
    <w:rsid w:val="00AC4716"/>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ColumnHeder">
    <w:name w:val="Table Column Heder"/>
    <w:basedOn w:val="TableNormal"/>
    <w:uiPriority w:val="99"/>
    <w:rsid w:val="00AC4716"/>
    <w:rPr>
      <w:sz w:val="22"/>
      <w:szCs w:val="22"/>
    </w:rPr>
    <w:tblPr/>
    <w:tblStylePr w:type="firstRow">
      <w:rPr>
        <w:rFonts w:ascii="Arial" w:hAnsi="Arial"/>
        <w:b/>
        <w:color w:val="FFFFFF" w:themeColor="background1"/>
        <w:sz w:val="32"/>
      </w:rPr>
      <w:tblPr/>
      <w:tcPr>
        <w:shd w:val="clear" w:color="auto" w:fill="8DCC29"/>
      </w:tcPr>
    </w:tblStylePr>
  </w:style>
  <w:style w:type="table" w:customStyle="1" w:styleId="TableColumnHeader">
    <w:name w:val="Table Column Header"/>
    <w:basedOn w:val="TableNormal"/>
    <w:uiPriority w:val="99"/>
    <w:rsid w:val="00AC4716"/>
    <w:rPr>
      <w:sz w:val="22"/>
      <w:szCs w:val="22"/>
    </w:rPr>
    <w:tblPr/>
    <w:tblStylePr w:type="firstRow">
      <w:rPr>
        <w:rFonts w:ascii="Arial" w:hAnsi="Arial"/>
        <w:color w:val="FFFFFF" w:themeColor="background1"/>
        <w:sz w:val="32"/>
      </w:rPr>
    </w:tblStylePr>
  </w:style>
  <w:style w:type="table" w:styleId="ListTable6Colorful">
    <w:name w:val="List Table 6 Colorful"/>
    <w:basedOn w:val="TableNormal"/>
    <w:uiPriority w:val="51"/>
    <w:rsid w:val="00AC4716"/>
    <w:rPr>
      <w:color w:val="282828" w:themeColor="text1"/>
      <w:sz w:val="22"/>
      <w:szCs w:val="22"/>
    </w:rPr>
    <w:tblPr>
      <w:tblStyleRowBandSize w:val="1"/>
      <w:tblStyleColBandSize w:val="1"/>
      <w:tblBorders>
        <w:top w:val="single" w:sz="4" w:space="0" w:color="282828" w:themeColor="text1"/>
        <w:bottom w:val="single" w:sz="4" w:space="0" w:color="282828" w:themeColor="text1"/>
      </w:tblBorders>
    </w:tblPr>
    <w:tblStylePr w:type="firstRow">
      <w:rPr>
        <w:b/>
        <w:bCs/>
      </w:rPr>
      <w:tblPr/>
      <w:tcPr>
        <w:tcBorders>
          <w:bottom w:val="single" w:sz="4" w:space="0" w:color="282828" w:themeColor="text1"/>
        </w:tcBorders>
      </w:tcPr>
    </w:tblStylePr>
    <w:tblStylePr w:type="lastRow">
      <w:rPr>
        <w:b/>
        <w:bCs/>
      </w:rPr>
      <w:tblPr/>
      <w:tcPr>
        <w:tcBorders>
          <w:top w:val="double" w:sz="4" w:space="0" w:color="282828"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numbering" w:customStyle="1" w:styleId="CurrentList1">
    <w:name w:val="Current List1"/>
    <w:uiPriority w:val="99"/>
    <w:rsid w:val="00AC4716"/>
    <w:pPr>
      <w:numPr>
        <w:numId w:val="4"/>
      </w:numPr>
    </w:pPr>
  </w:style>
  <w:style w:type="paragraph" w:styleId="BodyText">
    <w:name w:val="Body Text"/>
    <w:basedOn w:val="Normal"/>
    <w:link w:val="BodyTextChar"/>
    <w:uiPriority w:val="99"/>
    <w:unhideWhenUsed/>
    <w:rsid w:val="00AC4716"/>
  </w:style>
  <w:style w:type="character" w:customStyle="1" w:styleId="BodyTextChar">
    <w:name w:val="Body Text Char"/>
    <w:basedOn w:val="DefaultParagraphFont"/>
    <w:link w:val="BodyText"/>
    <w:uiPriority w:val="99"/>
    <w:rsid w:val="00AC4716"/>
    <w:rPr>
      <w:rFonts w:cs="Times New Roman"/>
      <w:color w:val="141414" w:themeColor="text1" w:themeShade="80"/>
      <w:sz w:val="21"/>
      <w:szCs w:val="21"/>
    </w:rPr>
  </w:style>
  <w:style w:type="paragraph" w:customStyle="1" w:styleId="ModifiedSectionHeader">
    <w:name w:val="Modified Section Header"/>
    <w:basedOn w:val="Normal"/>
    <w:rsid w:val="00AC4716"/>
    <w:pPr>
      <w:ind w:left="360"/>
    </w:pPr>
    <w:rPr>
      <w:rFonts w:ascii="Arial" w:eastAsia="Calibri" w:hAnsi="Arial" w:cs="Arial"/>
      <w:b/>
      <w:color w:val="auto"/>
      <w:sz w:val="24"/>
      <w14:numForm w14:val="lining"/>
    </w:rPr>
  </w:style>
  <w:style w:type="paragraph" w:customStyle="1" w:styleId="ModifiedSectionBulletedText">
    <w:name w:val="Modified Section Bulleted Text"/>
    <w:basedOn w:val="ListParagraph"/>
    <w:rsid w:val="00AC4716"/>
    <w:pPr>
      <w:spacing w:line="240" w:lineRule="auto"/>
      <w:contextualSpacing w:val="0"/>
    </w:pPr>
    <w:rPr>
      <w:rFonts w:ascii="Arial" w:eastAsia="Cambria" w:hAnsi="Arial" w:cs="Cambria"/>
      <w:color w:val="auto"/>
      <w:sz w:val="24"/>
      <w14:numForm w14:val="lining"/>
    </w:rPr>
  </w:style>
  <w:style w:type="paragraph" w:customStyle="1" w:styleId="CoverPageWebsite">
    <w:name w:val="Cover Page Website"/>
    <w:basedOn w:val="Normal"/>
    <w:qFormat/>
    <w:rsid w:val="00F22715"/>
    <w:pPr>
      <w:spacing w:after="0"/>
      <w:ind w:left="1440"/>
    </w:pPr>
    <w:rPr>
      <w:rFonts w:ascii="Lato" w:hAnsi="Lato"/>
      <w:b/>
      <w:bCs/>
      <w:color w:val="FFFFFF" w:themeColor="background1"/>
      <w:sz w:val="18"/>
      <w:szCs w:val="20"/>
    </w:rPr>
  </w:style>
  <w:style w:type="paragraph" w:customStyle="1" w:styleId="LetterAddress">
    <w:name w:val="Letter Address"/>
    <w:basedOn w:val="NoSpacing"/>
    <w:qFormat/>
    <w:rsid w:val="00F22715"/>
    <w:pPr>
      <w:framePr w:hSpace="180" w:wrap="around" w:vAnchor="text" w:hAnchor="margin" w:x="-90" w:y="154"/>
      <w:spacing w:before="120" w:after="40"/>
    </w:pPr>
    <w:rPr>
      <w:rFonts w:ascii="Lato" w:eastAsiaTheme="minorHAnsi" w:hAnsi="Lato" w:cs="Lato"/>
      <w:color w:val="141414" w:themeColor="text1" w:themeShade="80"/>
      <w:sz w:val="20"/>
      <w:szCs w:val="21"/>
    </w:rPr>
  </w:style>
  <w:style w:type="paragraph" w:customStyle="1" w:styleId="ToandFrom">
    <w:name w:val="To and From"/>
    <w:basedOn w:val="NoSpacing"/>
    <w:qFormat/>
    <w:rsid w:val="00F22715"/>
    <w:pPr>
      <w:framePr w:hSpace="180" w:wrap="around" w:vAnchor="text" w:hAnchor="margin" w:x="-90" w:y="154"/>
      <w:spacing w:before="120" w:after="120"/>
      <w:ind w:firstLine="90"/>
    </w:pPr>
    <w:rPr>
      <w:rFonts w:ascii="Lato" w:eastAsiaTheme="minorHAnsi" w:hAnsi="Lato"/>
      <w:b/>
      <w:color w:val="141414" w:themeColor="text1" w:themeShade="80"/>
      <w:sz w:val="20"/>
      <w:szCs w:val="21"/>
    </w:rPr>
  </w:style>
  <w:style w:type="paragraph" w:customStyle="1" w:styleId="LetterSubject">
    <w:name w:val="Letter Subject"/>
    <w:basedOn w:val="LetterAddress"/>
    <w:rsid w:val="00F22715"/>
    <w:pPr>
      <w:framePr w:wrap="around"/>
    </w:pPr>
    <w:rPr>
      <w:b/>
      <w:bCs/>
    </w:rPr>
  </w:style>
  <w:style w:type="paragraph" w:customStyle="1" w:styleId="Outline1-Bullet">
    <w:name w:val="Outline 1 - Bullet"/>
    <w:qFormat/>
    <w:rsid w:val="00F22715"/>
    <w:pPr>
      <w:spacing w:before="160" w:after="40"/>
      <w:ind w:left="360" w:hanging="288"/>
    </w:pPr>
    <w:rPr>
      <w:rFonts w:ascii="Times New Roman" w:hAnsi="Times New Roman" w:cs="Times New Roman"/>
      <w:color w:val="141414" w:themeColor="text1" w:themeShade="80"/>
      <w:spacing w:val="1"/>
      <w:sz w:val="22"/>
    </w:rPr>
  </w:style>
  <w:style w:type="paragraph" w:customStyle="1" w:styleId="Outline2-Numbered">
    <w:name w:val="Outline 2 - Numbered"/>
    <w:qFormat/>
    <w:rsid w:val="00F22715"/>
    <w:pPr>
      <w:spacing w:before="40" w:after="40"/>
      <w:ind w:left="720" w:hanging="360"/>
    </w:pPr>
    <w:rPr>
      <w:rFonts w:ascii="Times New Roman" w:hAnsi="Times New Roman" w:cs="Times New Roman"/>
      <w:color w:val="141414" w:themeColor="text1" w:themeShade="80"/>
      <w:spacing w:val="1"/>
      <w:sz w:val="22"/>
    </w:rPr>
  </w:style>
  <w:style w:type="paragraph" w:customStyle="1" w:styleId="Outline3-List">
    <w:name w:val="Outline 3 - List"/>
    <w:qFormat/>
    <w:rsid w:val="00F22715"/>
    <w:pPr>
      <w:tabs>
        <w:tab w:val="num" w:pos="1152"/>
      </w:tabs>
      <w:spacing w:before="40" w:after="40"/>
      <w:ind w:left="1152" w:hanging="432"/>
    </w:pPr>
    <w:rPr>
      <w:rFonts w:ascii="Times New Roman" w:hAnsi="Times New Roman" w:cs="Times New Roman"/>
      <w:color w:val="141414" w:themeColor="text1" w:themeShade="80"/>
      <w:spacing w:val="1"/>
      <w:sz w:val="21"/>
      <w:szCs w:val="22"/>
    </w:rPr>
  </w:style>
  <w:style w:type="paragraph" w:customStyle="1" w:styleId="Outline4-Lettered">
    <w:name w:val="Outline 4 - Lettered"/>
    <w:qFormat/>
    <w:rsid w:val="00F22715"/>
    <w:pPr>
      <w:spacing w:before="40" w:after="40"/>
      <w:ind w:left="1512" w:hanging="360"/>
    </w:pPr>
    <w:rPr>
      <w:rFonts w:ascii="Times New Roman" w:hAnsi="Times New Roman" w:cs="Times New Roman"/>
      <w:color w:val="141414" w:themeColor="text1" w:themeShade="80"/>
      <w:spacing w:val="1"/>
      <w:sz w:val="21"/>
      <w:szCs w:val="22"/>
    </w:rPr>
  </w:style>
  <w:style w:type="paragraph" w:customStyle="1" w:styleId="Outline5-SmallBullets">
    <w:name w:val="Outline 5 - Small Bullets"/>
    <w:qFormat/>
    <w:rsid w:val="00F22715"/>
    <w:pPr>
      <w:spacing w:before="40" w:after="40"/>
      <w:ind w:left="1728" w:hanging="216"/>
    </w:pPr>
    <w:rPr>
      <w:rFonts w:ascii="Times New Roman" w:hAnsi="Times New Roman" w:cs="Times New Roman"/>
      <w:color w:val="141414" w:themeColor="text1" w:themeShade="80"/>
      <w:spacing w:val="1"/>
      <w:sz w:val="22"/>
    </w:rPr>
  </w:style>
  <w:style w:type="paragraph" w:customStyle="1" w:styleId="Header5">
    <w:name w:val="Header 5"/>
    <w:basedOn w:val="Normal"/>
    <w:rsid w:val="00F22715"/>
    <w:pPr>
      <w:spacing w:after="40"/>
    </w:pPr>
    <w:rPr>
      <w:b/>
      <w:bCs/>
    </w:rPr>
  </w:style>
  <w:style w:type="paragraph" w:customStyle="1" w:styleId="Header6">
    <w:name w:val="Header 6"/>
    <w:basedOn w:val="Normal"/>
    <w:rsid w:val="00F22715"/>
    <w:pPr>
      <w:spacing w:after="0"/>
    </w:pPr>
    <w:rPr>
      <w:i/>
      <w:iCs/>
      <w:spacing w:val="8"/>
    </w:rPr>
  </w:style>
  <w:style w:type="paragraph" w:customStyle="1" w:styleId="TOC2Heading">
    <w:name w:val="TOC 2 Heading"/>
    <w:qFormat/>
    <w:rsid w:val="00F22715"/>
    <w:pPr>
      <w:spacing w:before="440"/>
    </w:pPr>
    <w:rPr>
      <w:rFonts w:eastAsiaTheme="majorEastAsia" w:cs="Times New Roman (Headings CS)"/>
      <w:b/>
      <w:color w:val="7E7E7E" w:themeColor="text1" w:themeTint="99"/>
      <w:spacing w:val="-2"/>
      <w:sz w:val="32"/>
      <w:szCs w:val="36"/>
    </w:rPr>
  </w:style>
  <w:style w:type="character" w:styleId="FollowedHyperlink">
    <w:name w:val="FollowedHyperlink"/>
    <w:basedOn w:val="DefaultParagraphFont"/>
    <w:uiPriority w:val="99"/>
    <w:semiHidden/>
    <w:unhideWhenUsed/>
    <w:rsid w:val="00F22715"/>
    <w:rPr>
      <w:color w:val="7F7F7F" w:themeColor="followedHyperlink"/>
      <w:u w:val="single"/>
    </w:rPr>
  </w:style>
  <w:style w:type="paragraph" w:customStyle="1" w:styleId="MemoorReportTitle">
    <w:name w:val="Memo or Report Title"/>
    <w:qFormat/>
    <w:rsid w:val="00D741F7"/>
    <w:pPr>
      <w:spacing w:before="480" w:after="360"/>
    </w:pPr>
    <w:rPr>
      <w:rFonts w:ascii="Lato Light" w:hAnsi="Lato Light" w:cs="Times New Roman (Body CS)"/>
      <w:color w:val="141414" w:themeColor="text1" w:themeShade="80"/>
      <w:spacing w:val="-6"/>
      <w:sz w:val="48"/>
      <w:szCs w:val="68"/>
    </w:rPr>
  </w:style>
  <w:style w:type="paragraph" w:customStyle="1" w:styleId="Appendix">
    <w:name w:val="Appendix"/>
    <w:basedOn w:val="Heading1"/>
    <w:next w:val="Normal"/>
    <w:qFormat/>
    <w:rsid w:val="0023791D"/>
  </w:style>
  <w:style w:type="paragraph" w:customStyle="1" w:styleId="TableTextBullet">
    <w:name w:val="Table Text Bullet"/>
    <w:basedOn w:val="TableText"/>
    <w:qFormat/>
    <w:rsid w:val="00D741F7"/>
    <w:pPr>
      <w:numPr>
        <w:numId w:val="5"/>
      </w:numPr>
      <w:ind w:left="430"/>
    </w:pPr>
  </w:style>
  <w:style w:type="paragraph" w:customStyle="1" w:styleId="TableTitle0">
    <w:name w:val="Table Title"/>
    <w:basedOn w:val="Caption"/>
    <w:qFormat/>
    <w:rsid w:val="00D741F7"/>
    <w:pPr>
      <w:keepNext/>
      <w:spacing w:before="240" w:after="80"/>
    </w:pPr>
    <w:rPr>
      <w:color w:val="282828" w:themeColor="text1"/>
      <w:sz w:val="22"/>
      <w:szCs w:val="22"/>
    </w:rPr>
  </w:style>
  <w:style w:type="paragraph" w:customStyle="1" w:styleId="SectionTitle">
    <w:name w:val="Section Title"/>
    <w:qFormat/>
    <w:rsid w:val="00D741F7"/>
    <w:pPr>
      <w:pageBreakBefore/>
      <w:spacing w:after="120"/>
    </w:pPr>
    <w:rPr>
      <w:rFonts w:ascii="Lato Light" w:hAnsi="Lato Light" w:cs="Times New Roman (Body CS)"/>
      <w:color w:val="141414" w:themeColor="text1" w:themeShade="80"/>
      <w:spacing w:val="-6"/>
      <w:sz w:val="48"/>
      <w:szCs w:val="68"/>
    </w:rPr>
  </w:style>
  <w:style w:type="table" w:styleId="GridTable1Light">
    <w:name w:val="Grid Table 1 Light"/>
    <w:basedOn w:val="TableNormal"/>
    <w:uiPriority w:val="46"/>
    <w:rsid w:val="00D741F7"/>
    <w:tblPr>
      <w:tblStyleRowBandSize w:val="1"/>
      <w:tblStyleColBandSize w:val="1"/>
      <w:tblBorders>
        <w:top w:val="single" w:sz="4" w:space="0" w:color="A9A9A9" w:themeColor="text1" w:themeTint="66"/>
        <w:left w:val="single" w:sz="4" w:space="0" w:color="A9A9A9" w:themeColor="text1" w:themeTint="66"/>
        <w:bottom w:val="single" w:sz="4" w:space="0" w:color="A9A9A9" w:themeColor="text1" w:themeTint="66"/>
        <w:right w:val="single" w:sz="4" w:space="0" w:color="A9A9A9" w:themeColor="text1" w:themeTint="66"/>
        <w:insideH w:val="single" w:sz="4" w:space="0" w:color="A9A9A9" w:themeColor="text1" w:themeTint="66"/>
        <w:insideV w:val="single" w:sz="4" w:space="0" w:color="A9A9A9" w:themeColor="text1" w:themeTint="66"/>
      </w:tblBorders>
    </w:tblPr>
    <w:tblStylePr w:type="firstRow">
      <w:rPr>
        <w:b/>
        <w:bCs/>
      </w:rPr>
      <w:tblPr/>
      <w:tcPr>
        <w:tcBorders>
          <w:bottom w:val="single" w:sz="12" w:space="0" w:color="7E7E7E" w:themeColor="text1" w:themeTint="99"/>
        </w:tcBorders>
      </w:tcPr>
    </w:tblStylePr>
    <w:tblStylePr w:type="lastRow">
      <w:rPr>
        <w:b/>
        <w:bCs/>
      </w:rPr>
      <w:tblPr/>
      <w:tcPr>
        <w:tcBorders>
          <w:top w:val="double" w:sz="2" w:space="0" w:color="7E7E7E" w:themeColor="text1"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D741F7"/>
    <w:tblPr>
      <w:tblStyleRowBandSize w:val="1"/>
      <w:tblStyleColBandSize w:val="1"/>
      <w:tblBorders>
        <w:top w:val="single" w:sz="4" w:space="0" w:color="8EE4DD" w:themeColor="accent4" w:themeTint="99"/>
        <w:left w:val="single" w:sz="4" w:space="0" w:color="8EE4DD" w:themeColor="accent4" w:themeTint="99"/>
        <w:bottom w:val="single" w:sz="4" w:space="0" w:color="8EE4DD" w:themeColor="accent4" w:themeTint="99"/>
        <w:right w:val="single" w:sz="4" w:space="0" w:color="8EE4DD" w:themeColor="accent4" w:themeTint="99"/>
        <w:insideH w:val="single" w:sz="4" w:space="0" w:color="8EE4DD" w:themeColor="accent4" w:themeTint="99"/>
        <w:insideV w:val="single" w:sz="4" w:space="0" w:color="8EE4DD" w:themeColor="accent4" w:themeTint="99"/>
      </w:tblBorders>
    </w:tblPr>
    <w:tblStylePr w:type="firstRow">
      <w:rPr>
        <w:b/>
        <w:bCs/>
        <w:color w:val="FFFFFF" w:themeColor="background1"/>
      </w:rPr>
      <w:tblPr/>
      <w:tcPr>
        <w:tcBorders>
          <w:top w:val="single" w:sz="4" w:space="0" w:color="44D3C8" w:themeColor="accent4"/>
          <w:left w:val="single" w:sz="4" w:space="0" w:color="44D3C8" w:themeColor="accent4"/>
          <w:bottom w:val="single" w:sz="4" w:space="0" w:color="44D3C8" w:themeColor="accent4"/>
          <w:right w:val="single" w:sz="4" w:space="0" w:color="44D3C8" w:themeColor="accent4"/>
          <w:insideH w:val="nil"/>
          <w:insideV w:val="nil"/>
        </w:tcBorders>
        <w:shd w:val="clear" w:color="auto" w:fill="44D3C8" w:themeFill="accent4"/>
      </w:tcPr>
    </w:tblStylePr>
    <w:tblStylePr w:type="lastRow">
      <w:rPr>
        <w:b/>
        <w:bCs/>
      </w:rPr>
      <w:tblPr/>
      <w:tcPr>
        <w:tcBorders>
          <w:top w:val="double" w:sz="4" w:space="0" w:color="44D3C8" w:themeColor="accent4"/>
        </w:tcBorders>
      </w:tcPr>
    </w:tblStylePr>
    <w:tblStylePr w:type="firstCol">
      <w:rPr>
        <w:b/>
        <w:bCs/>
      </w:rPr>
    </w:tblStylePr>
    <w:tblStylePr w:type="lastCol">
      <w:rPr>
        <w:b/>
        <w:bCs/>
      </w:rPr>
    </w:tblStylePr>
    <w:tblStylePr w:type="band1Vert">
      <w:tblPr/>
      <w:tcPr>
        <w:shd w:val="clear" w:color="auto" w:fill="D9F6F4" w:themeFill="accent4" w:themeFillTint="33"/>
      </w:tcPr>
    </w:tblStylePr>
    <w:tblStylePr w:type="band1Horz">
      <w:tblPr/>
      <w:tcPr>
        <w:shd w:val="clear" w:color="auto" w:fill="D9F6F4" w:themeFill="accent4" w:themeFillTint="33"/>
      </w:tcPr>
    </w:tblStylePr>
  </w:style>
  <w:style w:type="character" w:styleId="PlaceholderText">
    <w:name w:val="Placeholder Text"/>
    <w:basedOn w:val="DefaultParagraphFont"/>
    <w:uiPriority w:val="99"/>
    <w:semiHidden/>
    <w:rsid w:val="003219DA"/>
    <w:rPr>
      <w:color w:val="808080"/>
    </w:rPr>
  </w:style>
  <w:style w:type="table" w:customStyle="1" w:styleId="TECHtablegrid4">
    <w:name w:val="TECH table grid4"/>
    <w:basedOn w:val="GridTable4-Accent2"/>
    <w:uiPriority w:val="99"/>
    <w:rsid w:val="00D741F7"/>
    <w:tblPr>
      <w:tblCellMar>
        <w:top w:w="29" w:type="dxa"/>
        <w:bottom w:w="43" w:type="dxa"/>
      </w:tblCellMar>
    </w:tblPr>
    <w:tblStylePr w:type="firstRow">
      <w:pPr>
        <w:jc w:val="left"/>
      </w:pPr>
      <w:rPr>
        <w:b w:val="0"/>
        <w:bCs/>
        <w:color w:val="FFFFFF" w:themeColor="background1"/>
      </w:rPr>
      <w:tblPr/>
      <w:tcPr>
        <w:tcBorders>
          <w:top w:val="single" w:sz="4" w:space="0" w:color="8DC63F" w:themeColor="accent2"/>
          <w:left w:val="single" w:sz="4" w:space="0" w:color="8DC63F" w:themeColor="accent2"/>
          <w:bottom w:val="single" w:sz="4" w:space="0" w:color="8DC63F" w:themeColor="accent2"/>
          <w:right w:val="single" w:sz="4" w:space="0" w:color="8DC63F" w:themeColor="accent2"/>
          <w:insideH w:val="single" w:sz="4" w:space="0" w:color="FFFFFF" w:themeColor="background1"/>
          <w:insideV w:val="single" w:sz="4" w:space="0" w:color="FFFFFF" w:themeColor="background1"/>
        </w:tcBorders>
        <w:shd w:val="clear" w:color="auto" w:fill="8DC63F" w:themeFill="accent2"/>
      </w:tcPr>
    </w:tblStylePr>
    <w:tblStylePr w:type="lastRow">
      <w:rPr>
        <w:b/>
        <w:bCs/>
      </w:rPr>
    </w:tblStylePr>
    <w:tblStylePr w:type="firstCol">
      <w:rPr>
        <w:b/>
        <w:bCs/>
      </w:rPr>
    </w:tblStylePr>
    <w:tblStylePr w:type="lastCol">
      <w:rPr>
        <w:b/>
        <w:bCs/>
      </w:rPr>
    </w:tblStylePr>
    <w:tblStylePr w:type="band1Vert">
      <w:tblPr/>
      <w:tcPr>
        <w:tcBorders>
          <w:insideH w:val="single" w:sz="4" w:space="0" w:color="FFFFFF" w:themeColor="background1"/>
          <w:insideV w:val="single" w:sz="4" w:space="0" w:color="FFFFFF" w:themeColor="background1"/>
        </w:tcBorders>
        <w:shd w:val="clear" w:color="auto" w:fill="EDEEEF" w:themeFill="background2"/>
      </w:tcPr>
    </w:tblStylePr>
    <w:tblStylePr w:type="band2Vert">
      <w:tblPr/>
      <w:tcPr>
        <w:tcBorders>
          <w:insideH w:val="nil"/>
          <w:insideV w:val="nil"/>
        </w:tcBorders>
      </w:tcPr>
    </w:tblStylePr>
    <w:tblStylePr w:type="band1Horz">
      <w:tblPr/>
      <w:tcPr>
        <w:shd w:val="clear" w:color="auto" w:fill="EDEEEF" w:themeFill="background2"/>
      </w:tcPr>
    </w:tblStylePr>
  </w:style>
  <w:style w:type="table" w:customStyle="1" w:styleId="GridTable5Dark-Accent31">
    <w:name w:val="Grid Table 5 Dark - Accent 31"/>
    <w:basedOn w:val="TableNormal"/>
    <w:next w:val="GridTable5Dark-Accent3"/>
    <w:uiPriority w:val="50"/>
    <w:rsid w:val="00064E80"/>
    <w:tblPr>
      <w:tblStyleRowBandSize w:val="1"/>
      <w:tblStyleColBandSize w:val="1"/>
      <w:tblBorders>
        <w:top w:val="single" w:sz="4" w:space="0" w:color="EDEEEF" w:themeColor="background2"/>
        <w:left w:val="single" w:sz="4" w:space="0" w:color="EDEEEF" w:themeColor="background2"/>
        <w:bottom w:val="single" w:sz="4" w:space="0" w:color="EDEEEF" w:themeColor="background2"/>
        <w:right w:val="single" w:sz="4" w:space="0" w:color="EDEEEF" w:themeColor="background2"/>
        <w:insideH w:val="single" w:sz="4" w:space="0" w:color="EDEEEF" w:themeColor="background2"/>
        <w:insideV w:val="single" w:sz="4" w:space="0" w:color="EDEEEF" w:themeColor="background2"/>
      </w:tblBorders>
    </w:tblPr>
    <w:tcPr>
      <w:shd w:val="clear" w:color="auto" w:fill="FFD3B5" w:themeFill="accent3" w:themeFillTint="66"/>
    </w:tcPr>
    <w:tblStylePr w:type="firstRow">
      <w:rPr>
        <w:b/>
        <w:bCs/>
        <w:color w:val="59535C"/>
      </w:rPr>
      <w:tblPr/>
      <w:tcPr>
        <w:shd w:val="clear" w:color="auto" w:fill="EDEEEF" w:themeFill="background2"/>
      </w:tcPr>
    </w:tblStylePr>
    <w:tblStylePr w:type="lastRow">
      <w:rPr>
        <w:b/>
        <w:bCs/>
        <w:color w:val="59535C"/>
      </w:rPr>
      <w:tblPr/>
      <w:tcPr>
        <w:shd w:val="clear" w:color="auto" w:fill="F4F4F5" w:themeFill="background2" w:themeFillTint="99"/>
      </w:tcPr>
    </w:tblStylePr>
    <w:tblStylePr w:type="firstCol">
      <w:rPr>
        <w:b/>
        <w:bCs/>
        <w:color w:val="59535C"/>
      </w:rPr>
      <w:tblPr/>
      <w:tcPr>
        <w:shd w:val="clear" w:color="auto" w:fill="EDEEEF" w:themeFill="background2"/>
      </w:tcPr>
    </w:tblStylePr>
    <w:tblStylePr w:type="lastCol">
      <w:rPr>
        <w:b/>
        <w:bCs/>
        <w:color w:val="59535C"/>
      </w:rPr>
      <w:tblPr/>
      <w:tcPr>
        <w:shd w:val="clear" w:color="auto" w:fill="FBFBFB" w:themeFill="background2" w:themeFillTint="33"/>
      </w:tcPr>
    </w:tblStylePr>
    <w:tblStylePr w:type="band1Vert">
      <w:tblPr/>
      <w:tcPr>
        <w:shd w:val="clear" w:color="auto" w:fill="FBFBFB" w:themeFill="background2" w:themeFillTint="33"/>
      </w:tcPr>
    </w:tblStylePr>
    <w:tblStylePr w:type="band2Vert">
      <w:tblPr/>
      <w:tcPr>
        <w:shd w:val="clear" w:color="auto" w:fill="F7F8F8" w:themeFill="background2" w:themeFillTint="66"/>
      </w:tcPr>
    </w:tblStylePr>
    <w:tblStylePr w:type="band1Horz">
      <w:tblPr/>
      <w:tcPr>
        <w:shd w:val="clear" w:color="auto" w:fill="FBFBFB" w:themeFill="background2" w:themeFillTint="33"/>
      </w:tcPr>
    </w:tblStylePr>
    <w:tblStylePr w:type="band2Horz">
      <w:tblPr/>
      <w:tcPr>
        <w:shd w:val="clear" w:color="auto" w:fill="FBFBFB" w:themeFill="background2" w:themeFillTint="33"/>
      </w:tcPr>
    </w:tblStylePr>
  </w:style>
  <w:style w:type="table" w:styleId="GridTable5Dark-Accent3">
    <w:name w:val="Grid Table 5 Dark Accent 3"/>
    <w:basedOn w:val="TableNormal"/>
    <w:uiPriority w:val="50"/>
    <w:rsid w:val="00064E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24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24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24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248" w:themeFill="accent3"/>
      </w:tcPr>
    </w:tblStylePr>
    <w:tblStylePr w:type="band1Vert">
      <w:tblPr/>
      <w:tcPr>
        <w:shd w:val="clear" w:color="auto" w:fill="FFD3B5" w:themeFill="accent3" w:themeFillTint="66"/>
      </w:tcPr>
    </w:tblStylePr>
    <w:tblStylePr w:type="band1Horz">
      <w:tblPr/>
      <w:tcPr>
        <w:shd w:val="clear" w:color="auto" w:fill="FFD3B5" w:themeFill="accent3" w:themeFillTint="66"/>
      </w:tcPr>
    </w:tblStylePr>
  </w:style>
  <w:style w:type="table" w:styleId="PlainTable3">
    <w:name w:val="Plain Table 3"/>
    <w:basedOn w:val="TableNormal"/>
    <w:uiPriority w:val="43"/>
    <w:rsid w:val="00A476D3"/>
    <w:tblPr>
      <w:tblStyleRowBandSize w:val="1"/>
      <w:tblStyleColBandSize w:val="1"/>
    </w:tblPr>
    <w:tblStylePr w:type="firstRow">
      <w:rPr>
        <w:b/>
        <w:bCs/>
        <w:caps/>
      </w:rPr>
      <w:tblPr/>
      <w:tcPr>
        <w:tcBorders>
          <w:bottom w:val="single" w:sz="4" w:space="0" w:color="93939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393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426141"/>
    <w:pPr>
      <w:autoSpaceDE w:val="0"/>
      <w:autoSpaceDN w:val="0"/>
      <w:adjustRightInd w:val="0"/>
    </w:pPr>
    <w:rPr>
      <w:rFonts w:ascii="Calibri" w:hAnsi="Calibri" w:cs="Calibri"/>
      <w:color w:val="000000"/>
    </w:rPr>
  </w:style>
  <w:style w:type="character" w:customStyle="1" w:styleId="markedcontent">
    <w:name w:val="markedcontent"/>
    <w:basedOn w:val="DefaultParagraphFont"/>
    <w:rsid w:val="00155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80">
      <w:bodyDiv w:val="1"/>
      <w:marLeft w:val="0"/>
      <w:marRight w:val="0"/>
      <w:marTop w:val="0"/>
      <w:marBottom w:val="0"/>
      <w:divBdr>
        <w:top w:val="none" w:sz="0" w:space="0" w:color="auto"/>
        <w:left w:val="none" w:sz="0" w:space="0" w:color="auto"/>
        <w:bottom w:val="none" w:sz="0" w:space="0" w:color="auto"/>
        <w:right w:val="none" w:sz="0" w:space="0" w:color="auto"/>
      </w:divBdr>
      <w:divsChild>
        <w:div w:id="55131834">
          <w:marLeft w:val="0"/>
          <w:marRight w:val="0"/>
          <w:marTop w:val="0"/>
          <w:marBottom w:val="0"/>
          <w:divBdr>
            <w:top w:val="none" w:sz="0" w:space="0" w:color="auto"/>
            <w:left w:val="none" w:sz="0" w:space="0" w:color="auto"/>
            <w:bottom w:val="none" w:sz="0" w:space="0" w:color="auto"/>
            <w:right w:val="none" w:sz="0" w:space="0" w:color="auto"/>
          </w:divBdr>
        </w:div>
        <w:div w:id="690765784">
          <w:marLeft w:val="0"/>
          <w:marRight w:val="0"/>
          <w:marTop w:val="0"/>
          <w:marBottom w:val="0"/>
          <w:divBdr>
            <w:top w:val="none" w:sz="0" w:space="0" w:color="auto"/>
            <w:left w:val="none" w:sz="0" w:space="0" w:color="auto"/>
            <w:bottom w:val="none" w:sz="0" w:space="0" w:color="auto"/>
            <w:right w:val="none" w:sz="0" w:space="0" w:color="auto"/>
          </w:divBdr>
        </w:div>
      </w:divsChild>
    </w:div>
    <w:div w:id="19360704">
      <w:bodyDiv w:val="1"/>
      <w:marLeft w:val="0"/>
      <w:marRight w:val="0"/>
      <w:marTop w:val="0"/>
      <w:marBottom w:val="0"/>
      <w:divBdr>
        <w:top w:val="none" w:sz="0" w:space="0" w:color="auto"/>
        <w:left w:val="none" w:sz="0" w:space="0" w:color="auto"/>
        <w:bottom w:val="none" w:sz="0" w:space="0" w:color="auto"/>
        <w:right w:val="none" w:sz="0" w:space="0" w:color="auto"/>
      </w:divBdr>
      <w:divsChild>
        <w:div w:id="189733285">
          <w:marLeft w:val="0"/>
          <w:marRight w:val="0"/>
          <w:marTop w:val="0"/>
          <w:marBottom w:val="0"/>
          <w:divBdr>
            <w:top w:val="none" w:sz="0" w:space="0" w:color="auto"/>
            <w:left w:val="none" w:sz="0" w:space="0" w:color="auto"/>
            <w:bottom w:val="none" w:sz="0" w:space="0" w:color="auto"/>
            <w:right w:val="none" w:sz="0" w:space="0" w:color="auto"/>
          </w:divBdr>
        </w:div>
        <w:div w:id="789054778">
          <w:marLeft w:val="0"/>
          <w:marRight w:val="0"/>
          <w:marTop w:val="0"/>
          <w:marBottom w:val="0"/>
          <w:divBdr>
            <w:top w:val="none" w:sz="0" w:space="0" w:color="auto"/>
            <w:left w:val="none" w:sz="0" w:space="0" w:color="auto"/>
            <w:bottom w:val="none" w:sz="0" w:space="0" w:color="auto"/>
            <w:right w:val="none" w:sz="0" w:space="0" w:color="auto"/>
          </w:divBdr>
        </w:div>
        <w:div w:id="1148084194">
          <w:marLeft w:val="0"/>
          <w:marRight w:val="0"/>
          <w:marTop w:val="0"/>
          <w:marBottom w:val="0"/>
          <w:divBdr>
            <w:top w:val="none" w:sz="0" w:space="0" w:color="auto"/>
            <w:left w:val="none" w:sz="0" w:space="0" w:color="auto"/>
            <w:bottom w:val="none" w:sz="0" w:space="0" w:color="auto"/>
            <w:right w:val="none" w:sz="0" w:space="0" w:color="auto"/>
          </w:divBdr>
        </w:div>
        <w:div w:id="1573152335">
          <w:marLeft w:val="0"/>
          <w:marRight w:val="0"/>
          <w:marTop w:val="0"/>
          <w:marBottom w:val="0"/>
          <w:divBdr>
            <w:top w:val="none" w:sz="0" w:space="0" w:color="auto"/>
            <w:left w:val="none" w:sz="0" w:space="0" w:color="auto"/>
            <w:bottom w:val="none" w:sz="0" w:space="0" w:color="auto"/>
            <w:right w:val="none" w:sz="0" w:space="0" w:color="auto"/>
          </w:divBdr>
        </w:div>
        <w:div w:id="1583418520">
          <w:marLeft w:val="0"/>
          <w:marRight w:val="0"/>
          <w:marTop w:val="0"/>
          <w:marBottom w:val="0"/>
          <w:divBdr>
            <w:top w:val="none" w:sz="0" w:space="0" w:color="auto"/>
            <w:left w:val="none" w:sz="0" w:space="0" w:color="auto"/>
            <w:bottom w:val="none" w:sz="0" w:space="0" w:color="auto"/>
            <w:right w:val="none" w:sz="0" w:space="0" w:color="auto"/>
          </w:divBdr>
        </w:div>
        <w:div w:id="1972972857">
          <w:marLeft w:val="0"/>
          <w:marRight w:val="0"/>
          <w:marTop w:val="0"/>
          <w:marBottom w:val="0"/>
          <w:divBdr>
            <w:top w:val="none" w:sz="0" w:space="0" w:color="auto"/>
            <w:left w:val="none" w:sz="0" w:space="0" w:color="auto"/>
            <w:bottom w:val="none" w:sz="0" w:space="0" w:color="auto"/>
            <w:right w:val="none" w:sz="0" w:space="0" w:color="auto"/>
          </w:divBdr>
        </w:div>
      </w:divsChild>
    </w:div>
    <w:div w:id="55862787">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
    <w:div w:id="79495789">
      <w:bodyDiv w:val="1"/>
      <w:marLeft w:val="0"/>
      <w:marRight w:val="0"/>
      <w:marTop w:val="0"/>
      <w:marBottom w:val="0"/>
      <w:divBdr>
        <w:top w:val="none" w:sz="0" w:space="0" w:color="auto"/>
        <w:left w:val="none" w:sz="0" w:space="0" w:color="auto"/>
        <w:bottom w:val="none" w:sz="0" w:space="0" w:color="auto"/>
        <w:right w:val="none" w:sz="0" w:space="0" w:color="auto"/>
      </w:divBdr>
    </w:div>
    <w:div w:id="130055389">
      <w:bodyDiv w:val="1"/>
      <w:marLeft w:val="0"/>
      <w:marRight w:val="0"/>
      <w:marTop w:val="0"/>
      <w:marBottom w:val="0"/>
      <w:divBdr>
        <w:top w:val="none" w:sz="0" w:space="0" w:color="auto"/>
        <w:left w:val="none" w:sz="0" w:space="0" w:color="auto"/>
        <w:bottom w:val="none" w:sz="0" w:space="0" w:color="auto"/>
        <w:right w:val="none" w:sz="0" w:space="0" w:color="auto"/>
      </w:divBdr>
      <w:divsChild>
        <w:div w:id="61952914">
          <w:marLeft w:val="0"/>
          <w:marRight w:val="0"/>
          <w:marTop w:val="0"/>
          <w:marBottom w:val="0"/>
          <w:divBdr>
            <w:top w:val="none" w:sz="0" w:space="0" w:color="auto"/>
            <w:left w:val="none" w:sz="0" w:space="0" w:color="auto"/>
            <w:bottom w:val="none" w:sz="0" w:space="0" w:color="auto"/>
            <w:right w:val="none" w:sz="0" w:space="0" w:color="auto"/>
          </w:divBdr>
        </w:div>
        <w:div w:id="101194271">
          <w:marLeft w:val="0"/>
          <w:marRight w:val="0"/>
          <w:marTop w:val="0"/>
          <w:marBottom w:val="0"/>
          <w:divBdr>
            <w:top w:val="none" w:sz="0" w:space="0" w:color="auto"/>
            <w:left w:val="none" w:sz="0" w:space="0" w:color="auto"/>
            <w:bottom w:val="none" w:sz="0" w:space="0" w:color="auto"/>
            <w:right w:val="none" w:sz="0" w:space="0" w:color="auto"/>
          </w:divBdr>
        </w:div>
        <w:div w:id="1361668349">
          <w:marLeft w:val="0"/>
          <w:marRight w:val="0"/>
          <w:marTop w:val="0"/>
          <w:marBottom w:val="0"/>
          <w:divBdr>
            <w:top w:val="none" w:sz="0" w:space="0" w:color="auto"/>
            <w:left w:val="none" w:sz="0" w:space="0" w:color="auto"/>
            <w:bottom w:val="none" w:sz="0" w:space="0" w:color="auto"/>
            <w:right w:val="none" w:sz="0" w:space="0" w:color="auto"/>
          </w:divBdr>
        </w:div>
        <w:div w:id="1439912635">
          <w:marLeft w:val="0"/>
          <w:marRight w:val="0"/>
          <w:marTop w:val="0"/>
          <w:marBottom w:val="0"/>
          <w:divBdr>
            <w:top w:val="none" w:sz="0" w:space="0" w:color="auto"/>
            <w:left w:val="none" w:sz="0" w:space="0" w:color="auto"/>
            <w:bottom w:val="none" w:sz="0" w:space="0" w:color="auto"/>
            <w:right w:val="none" w:sz="0" w:space="0" w:color="auto"/>
          </w:divBdr>
        </w:div>
        <w:div w:id="1693720700">
          <w:marLeft w:val="0"/>
          <w:marRight w:val="0"/>
          <w:marTop w:val="0"/>
          <w:marBottom w:val="0"/>
          <w:divBdr>
            <w:top w:val="none" w:sz="0" w:space="0" w:color="auto"/>
            <w:left w:val="none" w:sz="0" w:space="0" w:color="auto"/>
            <w:bottom w:val="none" w:sz="0" w:space="0" w:color="auto"/>
            <w:right w:val="none" w:sz="0" w:space="0" w:color="auto"/>
          </w:divBdr>
        </w:div>
        <w:div w:id="1990942380">
          <w:marLeft w:val="0"/>
          <w:marRight w:val="0"/>
          <w:marTop w:val="0"/>
          <w:marBottom w:val="0"/>
          <w:divBdr>
            <w:top w:val="none" w:sz="0" w:space="0" w:color="auto"/>
            <w:left w:val="none" w:sz="0" w:space="0" w:color="auto"/>
            <w:bottom w:val="none" w:sz="0" w:space="0" w:color="auto"/>
            <w:right w:val="none" w:sz="0" w:space="0" w:color="auto"/>
          </w:divBdr>
        </w:div>
      </w:divsChild>
    </w:div>
    <w:div w:id="130900729">
      <w:bodyDiv w:val="1"/>
      <w:marLeft w:val="0"/>
      <w:marRight w:val="0"/>
      <w:marTop w:val="0"/>
      <w:marBottom w:val="0"/>
      <w:divBdr>
        <w:top w:val="none" w:sz="0" w:space="0" w:color="auto"/>
        <w:left w:val="none" w:sz="0" w:space="0" w:color="auto"/>
        <w:bottom w:val="none" w:sz="0" w:space="0" w:color="auto"/>
        <w:right w:val="none" w:sz="0" w:space="0" w:color="auto"/>
      </w:divBdr>
    </w:div>
    <w:div w:id="189539239">
      <w:bodyDiv w:val="1"/>
      <w:marLeft w:val="0"/>
      <w:marRight w:val="0"/>
      <w:marTop w:val="0"/>
      <w:marBottom w:val="0"/>
      <w:divBdr>
        <w:top w:val="none" w:sz="0" w:space="0" w:color="auto"/>
        <w:left w:val="none" w:sz="0" w:space="0" w:color="auto"/>
        <w:bottom w:val="none" w:sz="0" w:space="0" w:color="auto"/>
        <w:right w:val="none" w:sz="0" w:space="0" w:color="auto"/>
      </w:divBdr>
      <w:divsChild>
        <w:div w:id="615794996">
          <w:marLeft w:val="0"/>
          <w:marRight w:val="0"/>
          <w:marTop w:val="0"/>
          <w:marBottom w:val="0"/>
          <w:divBdr>
            <w:top w:val="none" w:sz="0" w:space="0" w:color="auto"/>
            <w:left w:val="none" w:sz="0" w:space="0" w:color="auto"/>
            <w:bottom w:val="none" w:sz="0" w:space="0" w:color="auto"/>
            <w:right w:val="none" w:sz="0" w:space="0" w:color="auto"/>
          </w:divBdr>
        </w:div>
        <w:div w:id="1124694478">
          <w:marLeft w:val="0"/>
          <w:marRight w:val="0"/>
          <w:marTop w:val="0"/>
          <w:marBottom w:val="0"/>
          <w:divBdr>
            <w:top w:val="none" w:sz="0" w:space="0" w:color="auto"/>
            <w:left w:val="none" w:sz="0" w:space="0" w:color="auto"/>
            <w:bottom w:val="none" w:sz="0" w:space="0" w:color="auto"/>
            <w:right w:val="none" w:sz="0" w:space="0" w:color="auto"/>
          </w:divBdr>
        </w:div>
      </w:divsChild>
    </w:div>
    <w:div w:id="239828665">
      <w:bodyDiv w:val="1"/>
      <w:marLeft w:val="0"/>
      <w:marRight w:val="0"/>
      <w:marTop w:val="0"/>
      <w:marBottom w:val="0"/>
      <w:divBdr>
        <w:top w:val="none" w:sz="0" w:space="0" w:color="auto"/>
        <w:left w:val="none" w:sz="0" w:space="0" w:color="auto"/>
        <w:bottom w:val="none" w:sz="0" w:space="0" w:color="auto"/>
        <w:right w:val="none" w:sz="0" w:space="0" w:color="auto"/>
      </w:divBdr>
    </w:div>
    <w:div w:id="266156099">
      <w:bodyDiv w:val="1"/>
      <w:marLeft w:val="0"/>
      <w:marRight w:val="0"/>
      <w:marTop w:val="0"/>
      <w:marBottom w:val="0"/>
      <w:divBdr>
        <w:top w:val="none" w:sz="0" w:space="0" w:color="auto"/>
        <w:left w:val="none" w:sz="0" w:space="0" w:color="auto"/>
        <w:bottom w:val="none" w:sz="0" w:space="0" w:color="auto"/>
        <w:right w:val="none" w:sz="0" w:space="0" w:color="auto"/>
      </w:divBdr>
    </w:div>
    <w:div w:id="283579028">
      <w:bodyDiv w:val="1"/>
      <w:marLeft w:val="0"/>
      <w:marRight w:val="0"/>
      <w:marTop w:val="0"/>
      <w:marBottom w:val="0"/>
      <w:divBdr>
        <w:top w:val="none" w:sz="0" w:space="0" w:color="auto"/>
        <w:left w:val="none" w:sz="0" w:space="0" w:color="auto"/>
        <w:bottom w:val="none" w:sz="0" w:space="0" w:color="auto"/>
        <w:right w:val="none" w:sz="0" w:space="0" w:color="auto"/>
      </w:divBdr>
    </w:div>
    <w:div w:id="330917389">
      <w:bodyDiv w:val="1"/>
      <w:marLeft w:val="0"/>
      <w:marRight w:val="0"/>
      <w:marTop w:val="0"/>
      <w:marBottom w:val="0"/>
      <w:divBdr>
        <w:top w:val="none" w:sz="0" w:space="0" w:color="auto"/>
        <w:left w:val="none" w:sz="0" w:space="0" w:color="auto"/>
        <w:bottom w:val="none" w:sz="0" w:space="0" w:color="auto"/>
        <w:right w:val="none" w:sz="0" w:space="0" w:color="auto"/>
      </w:divBdr>
    </w:div>
    <w:div w:id="372048487">
      <w:bodyDiv w:val="1"/>
      <w:marLeft w:val="0"/>
      <w:marRight w:val="0"/>
      <w:marTop w:val="0"/>
      <w:marBottom w:val="0"/>
      <w:divBdr>
        <w:top w:val="none" w:sz="0" w:space="0" w:color="auto"/>
        <w:left w:val="none" w:sz="0" w:space="0" w:color="auto"/>
        <w:bottom w:val="none" w:sz="0" w:space="0" w:color="auto"/>
        <w:right w:val="none" w:sz="0" w:space="0" w:color="auto"/>
      </w:divBdr>
      <w:divsChild>
        <w:div w:id="1120493986">
          <w:marLeft w:val="0"/>
          <w:marRight w:val="0"/>
          <w:marTop w:val="0"/>
          <w:marBottom w:val="0"/>
          <w:divBdr>
            <w:top w:val="none" w:sz="0" w:space="0" w:color="auto"/>
            <w:left w:val="none" w:sz="0" w:space="0" w:color="auto"/>
            <w:bottom w:val="none" w:sz="0" w:space="0" w:color="auto"/>
            <w:right w:val="none" w:sz="0" w:space="0" w:color="auto"/>
          </w:divBdr>
        </w:div>
      </w:divsChild>
    </w:div>
    <w:div w:id="389377900">
      <w:bodyDiv w:val="1"/>
      <w:marLeft w:val="0"/>
      <w:marRight w:val="0"/>
      <w:marTop w:val="0"/>
      <w:marBottom w:val="0"/>
      <w:divBdr>
        <w:top w:val="none" w:sz="0" w:space="0" w:color="auto"/>
        <w:left w:val="none" w:sz="0" w:space="0" w:color="auto"/>
        <w:bottom w:val="none" w:sz="0" w:space="0" w:color="auto"/>
        <w:right w:val="none" w:sz="0" w:space="0" w:color="auto"/>
      </w:divBdr>
    </w:div>
    <w:div w:id="408504668">
      <w:bodyDiv w:val="1"/>
      <w:marLeft w:val="0"/>
      <w:marRight w:val="0"/>
      <w:marTop w:val="0"/>
      <w:marBottom w:val="0"/>
      <w:divBdr>
        <w:top w:val="none" w:sz="0" w:space="0" w:color="auto"/>
        <w:left w:val="none" w:sz="0" w:space="0" w:color="auto"/>
        <w:bottom w:val="none" w:sz="0" w:space="0" w:color="auto"/>
        <w:right w:val="none" w:sz="0" w:space="0" w:color="auto"/>
      </w:divBdr>
      <w:divsChild>
        <w:div w:id="355884393">
          <w:marLeft w:val="0"/>
          <w:marRight w:val="0"/>
          <w:marTop w:val="0"/>
          <w:marBottom w:val="0"/>
          <w:divBdr>
            <w:top w:val="none" w:sz="0" w:space="0" w:color="auto"/>
            <w:left w:val="none" w:sz="0" w:space="0" w:color="auto"/>
            <w:bottom w:val="none" w:sz="0" w:space="0" w:color="auto"/>
            <w:right w:val="none" w:sz="0" w:space="0" w:color="auto"/>
          </w:divBdr>
        </w:div>
        <w:div w:id="541330455">
          <w:marLeft w:val="0"/>
          <w:marRight w:val="0"/>
          <w:marTop w:val="0"/>
          <w:marBottom w:val="0"/>
          <w:divBdr>
            <w:top w:val="none" w:sz="0" w:space="0" w:color="auto"/>
            <w:left w:val="none" w:sz="0" w:space="0" w:color="auto"/>
            <w:bottom w:val="none" w:sz="0" w:space="0" w:color="auto"/>
            <w:right w:val="none" w:sz="0" w:space="0" w:color="auto"/>
          </w:divBdr>
        </w:div>
        <w:div w:id="934485546">
          <w:marLeft w:val="0"/>
          <w:marRight w:val="0"/>
          <w:marTop w:val="0"/>
          <w:marBottom w:val="0"/>
          <w:divBdr>
            <w:top w:val="none" w:sz="0" w:space="0" w:color="auto"/>
            <w:left w:val="none" w:sz="0" w:space="0" w:color="auto"/>
            <w:bottom w:val="none" w:sz="0" w:space="0" w:color="auto"/>
            <w:right w:val="none" w:sz="0" w:space="0" w:color="auto"/>
          </w:divBdr>
        </w:div>
        <w:div w:id="973608861">
          <w:marLeft w:val="0"/>
          <w:marRight w:val="0"/>
          <w:marTop w:val="0"/>
          <w:marBottom w:val="0"/>
          <w:divBdr>
            <w:top w:val="none" w:sz="0" w:space="0" w:color="auto"/>
            <w:left w:val="none" w:sz="0" w:space="0" w:color="auto"/>
            <w:bottom w:val="none" w:sz="0" w:space="0" w:color="auto"/>
            <w:right w:val="none" w:sz="0" w:space="0" w:color="auto"/>
          </w:divBdr>
        </w:div>
        <w:div w:id="1332105777">
          <w:marLeft w:val="0"/>
          <w:marRight w:val="0"/>
          <w:marTop w:val="0"/>
          <w:marBottom w:val="0"/>
          <w:divBdr>
            <w:top w:val="none" w:sz="0" w:space="0" w:color="auto"/>
            <w:left w:val="none" w:sz="0" w:space="0" w:color="auto"/>
            <w:bottom w:val="none" w:sz="0" w:space="0" w:color="auto"/>
            <w:right w:val="none" w:sz="0" w:space="0" w:color="auto"/>
          </w:divBdr>
        </w:div>
        <w:div w:id="1370840530">
          <w:marLeft w:val="0"/>
          <w:marRight w:val="0"/>
          <w:marTop w:val="0"/>
          <w:marBottom w:val="0"/>
          <w:divBdr>
            <w:top w:val="none" w:sz="0" w:space="0" w:color="auto"/>
            <w:left w:val="none" w:sz="0" w:space="0" w:color="auto"/>
            <w:bottom w:val="none" w:sz="0" w:space="0" w:color="auto"/>
            <w:right w:val="none" w:sz="0" w:space="0" w:color="auto"/>
          </w:divBdr>
        </w:div>
      </w:divsChild>
    </w:div>
    <w:div w:id="412239545">
      <w:bodyDiv w:val="1"/>
      <w:marLeft w:val="0"/>
      <w:marRight w:val="0"/>
      <w:marTop w:val="0"/>
      <w:marBottom w:val="0"/>
      <w:divBdr>
        <w:top w:val="none" w:sz="0" w:space="0" w:color="auto"/>
        <w:left w:val="none" w:sz="0" w:space="0" w:color="auto"/>
        <w:bottom w:val="none" w:sz="0" w:space="0" w:color="auto"/>
        <w:right w:val="none" w:sz="0" w:space="0" w:color="auto"/>
      </w:divBdr>
    </w:div>
    <w:div w:id="423187880">
      <w:bodyDiv w:val="1"/>
      <w:marLeft w:val="0"/>
      <w:marRight w:val="0"/>
      <w:marTop w:val="0"/>
      <w:marBottom w:val="0"/>
      <w:divBdr>
        <w:top w:val="none" w:sz="0" w:space="0" w:color="auto"/>
        <w:left w:val="none" w:sz="0" w:space="0" w:color="auto"/>
        <w:bottom w:val="none" w:sz="0" w:space="0" w:color="auto"/>
        <w:right w:val="none" w:sz="0" w:space="0" w:color="auto"/>
      </w:divBdr>
      <w:divsChild>
        <w:div w:id="68771288">
          <w:marLeft w:val="0"/>
          <w:marRight w:val="0"/>
          <w:marTop w:val="0"/>
          <w:marBottom w:val="0"/>
          <w:divBdr>
            <w:top w:val="none" w:sz="0" w:space="0" w:color="auto"/>
            <w:left w:val="none" w:sz="0" w:space="0" w:color="auto"/>
            <w:bottom w:val="none" w:sz="0" w:space="0" w:color="auto"/>
            <w:right w:val="none" w:sz="0" w:space="0" w:color="auto"/>
          </w:divBdr>
        </w:div>
        <w:div w:id="263852851">
          <w:marLeft w:val="0"/>
          <w:marRight w:val="0"/>
          <w:marTop w:val="0"/>
          <w:marBottom w:val="0"/>
          <w:divBdr>
            <w:top w:val="none" w:sz="0" w:space="0" w:color="auto"/>
            <w:left w:val="none" w:sz="0" w:space="0" w:color="auto"/>
            <w:bottom w:val="none" w:sz="0" w:space="0" w:color="auto"/>
            <w:right w:val="none" w:sz="0" w:space="0" w:color="auto"/>
          </w:divBdr>
        </w:div>
      </w:divsChild>
    </w:div>
    <w:div w:id="490878124">
      <w:bodyDiv w:val="1"/>
      <w:marLeft w:val="0"/>
      <w:marRight w:val="0"/>
      <w:marTop w:val="0"/>
      <w:marBottom w:val="0"/>
      <w:divBdr>
        <w:top w:val="none" w:sz="0" w:space="0" w:color="auto"/>
        <w:left w:val="none" w:sz="0" w:space="0" w:color="auto"/>
        <w:bottom w:val="none" w:sz="0" w:space="0" w:color="auto"/>
        <w:right w:val="none" w:sz="0" w:space="0" w:color="auto"/>
      </w:divBdr>
      <w:divsChild>
        <w:div w:id="72893796">
          <w:marLeft w:val="0"/>
          <w:marRight w:val="0"/>
          <w:marTop w:val="0"/>
          <w:marBottom w:val="0"/>
          <w:divBdr>
            <w:top w:val="none" w:sz="0" w:space="0" w:color="auto"/>
            <w:left w:val="none" w:sz="0" w:space="0" w:color="auto"/>
            <w:bottom w:val="none" w:sz="0" w:space="0" w:color="auto"/>
            <w:right w:val="none" w:sz="0" w:space="0" w:color="auto"/>
          </w:divBdr>
        </w:div>
        <w:div w:id="320937240">
          <w:marLeft w:val="0"/>
          <w:marRight w:val="0"/>
          <w:marTop w:val="0"/>
          <w:marBottom w:val="0"/>
          <w:divBdr>
            <w:top w:val="none" w:sz="0" w:space="0" w:color="auto"/>
            <w:left w:val="none" w:sz="0" w:space="0" w:color="auto"/>
            <w:bottom w:val="none" w:sz="0" w:space="0" w:color="auto"/>
            <w:right w:val="none" w:sz="0" w:space="0" w:color="auto"/>
          </w:divBdr>
        </w:div>
        <w:div w:id="925383646">
          <w:marLeft w:val="0"/>
          <w:marRight w:val="0"/>
          <w:marTop w:val="0"/>
          <w:marBottom w:val="0"/>
          <w:divBdr>
            <w:top w:val="none" w:sz="0" w:space="0" w:color="auto"/>
            <w:left w:val="none" w:sz="0" w:space="0" w:color="auto"/>
            <w:bottom w:val="none" w:sz="0" w:space="0" w:color="auto"/>
            <w:right w:val="none" w:sz="0" w:space="0" w:color="auto"/>
          </w:divBdr>
        </w:div>
        <w:div w:id="1054622925">
          <w:marLeft w:val="0"/>
          <w:marRight w:val="0"/>
          <w:marTop w:val="0"/>
          <w:marBottom w:val="0"/>
          <w:divBdr>
            <w:top w:val="none" w:sz="0" w:space="0" w:color="auto"/>
            <w:left w:val="none" w:sz="0" w:space="0" w:color="auto"/>
            <w:bottom w:val="none" w:sz="0" w:space="0" w:color="auto"/>
            <w:right w:val="none" w:sz="0" w:space="0" w:color="auto"/>
          </w:divBdr>
        </w:div>
        <w:div w:id="1284847081">
          <w:marLeft w:val="0"/>
          <w:marRight w:val="0"/>
          <w:marTop w:val="0"/>
          <w:marBottom w:val="0"/>
          <w:divBdr>
            <w:top w:val="none" w:sz="0" w:space="0" w:color="auto"/>
            <w:left w:val="none" w:sz="0" w:space="0" w:color="auto"/>
            <w:bottom w:val="none" w:sz="0" w:space="0" w:color="auto"/>
            <w:right w:val="none" w:sz="0" w:space="0" w:color="auto"/>
          </w:divBdr>
        </w:div>
        <w:div w:id="1518083507">
          <w:marLeft w:val="0"/>
          <w:marRight w:val="0"/>
          <w:marTop w:val="0"/>
          <w:marBottom w:val="0"/>
          <w:divBdr>
            <w:top w:val="none" w:sz="0" w:space="0" w:color="auto"/>
            <w:left w:val="none" w:sz="0" w:space="0" w:color="auto"/>
            <w:bottom w:val="none" w:sz="0" w:space="0" w:color="auto"/>
            <w:right w:val="none" w:sz="0" w:space="0" w:color="auto"/>
          </w:divBdr>
        </w:div>
        <w:div w:id="1522091255">
          <w:marLeft w:val="0"/>
          <w:marRight w:val="0"/>
          <w:marTop w:val="0"/>
          <w:marBottom w:val="0"/>
          <w:divBdr>
            <w:top w:val="none" w:sz="0" w:space="0" w:color="auto"/>
            <w:left w:val="none" w:sz="0" w:space="0" w:color="auto"/>
            <w:bottom w:val="none" w:sz="0" w:space="0" w:color="auto"/>
            <w:right w:val="none" w:sz="0" w:space="0" w:color="auto"/>
          </w:divBdr>
        </w:div>
        <w:div w:id="1545369205">
          <w:marLeft w:val="0"/>
          <w:marRight w:val="0"/>
          <w:marTop w:val="0"/>
          <w:marBottom w:val="0"/>
          <w:divBdr>
            <w:top w:val="none" w:sz="0" w:space="0" w:color="auto"/>
            <w:left w:val="none" w:sz="0" w:space="0" w:color="auto"/>
            <w:bottom w:val="none" w:sz="0" w:space="0" w:color="auto"/>
            <w:right w:val="none" w:sz="0" w:space="0" w:color="auto"/>
          </w:divBdr>
        </w:div>
        <w:div w:id="1983342292">
          <w:marLeft w:val="0"/>
          <w:marRight w:val="0"/>
          <w:marTop w:val="0"/>
          <w:marBottom w:val="0"/>
          <w:divBdr>
            <w:top w:val="none" w:sz="0" w:space="0" w:color="auto"/>
            <w:left w:val="none" w:sz="0" w:space="0" w:color="auto"/>
            <w:bottom w:val="none" w:sz="0" w:space="0" w:color="auto"/>
            <w:right w:val="none" w:sz="0" w:space="0" w:color="auto"/>
          </w:divBdr>
        </w:div>
        <w:div w:id="2062511494">
          <w:marLeft w:val="0"/>
          <w:marRight w:val="0"/>
          <w:marTop w:val="0"/>
          <w:marBottom w:val="0"/>
          <w:divBdr>
            <w:top w:val="none" w:sz="0" w:space="0" w:color="auto"/>
            <w:left w:val="none" w:sz="0" w:space="0" w:color="auto"/>
            <w:bottom w:val="none" w:sz="0" w:space="0" w:color="auto"/>
            <w:right w:val="none" w:sz="0" w:space="0" w:color="auto"/>
          </w:divBdr>
        </w:div>
      </w:divsChild>
    </w:div>
    <w:div w:id="549271630">
      <w:bodyDiv w:val="1"/>
      <w:marLeft w:val="0"/>
      <w:marRight w:val="0"/>
      <w:marTop w:val="0"/>
      <w:marBottom w:val="0"/>
      <w:divBdr>
        <w:top w:val="none" w:sz="0" w:space="0" w:color="auto"/>
        <w:left w:val="none" w:sz="0" w:space="0" w:color="auto"/>
        <w:bottom w:val="none" w:sz="0" w:space="0" w:color="auto"/>
        <w:right w:val="none" w:sz="0" w:space="0" w:color="auto"/>
      </w:divBdr>
    </w:div>
    <w:div w:id="553279126">
      <w:bodyDiv w:val="1"/>
      <w:marLeft w:val="0"/>
      <w:marRight w:val="0"/>
      <w:marTop w:val="0"/>
      <w:marBottom w:val="0"/>
      <w:divBdr>
        <w:top w:val="none" w:sz="0" w:space="0" w:color="auto"/>
        <w:left w:val="none" w:sz="0" w:space="0" w:color="auto"/>
        <w:bottom w:val="none" w:sz="0" w:space="0" w:color="auto"/>
        <w:right w:val="none" w:sz="0" w:space="0" w:color="auto"/>
      </w:divBdr>
    </w:div>
    <w:div w:id="605580607">
      <w:bodyDiv w:val="1"/>
      <w:marLeft w:val="0"/>
      <w:marRight w:val="0"/>
      <w:marTop w:val="0"/>
      <w:marBottom w:val="0"/>
      <w:divBdr>
        <w:top w:val="none" w:sz="0" w:space="0" w:color="auto"/>
        <w:left w:val="none" w:sz="0" w:space="0" w:color="auto"/>
        <w:bottom w:val="none" w:sz="0" w:space="0" w:color="auto"/>
        <w:right w:val="none" w:sz="0" w:space="0" w:color="auto"/>
      </w:divBdr>
      <w:divsChild>
        <w:div w:id="36979014">
          <w:marLeft w:val="0"/>
          <w:marRight w:val="0"/>
          <w:marTop w:val="0"/>
          <w:marBottom w:val="0"/>
          <w:divBdr>
            <w:top w:val="none" w:sz="0" w:space="0" w:color="auto"/>
            <w:left w:val="none" w:sz="0" w:space="0" w:color="auto"/>
            <w:bottom w:val="none" w:sz="0" w:space="0" w:color="auto"/>
            <w:right w:val="none" w:sz="0" w:space="0" w:color="auto"/>
          </w:divBdr>
        </w:div>
        <w:div w:id="255019877">
          <w:marLeft w:val="0"/>
          <w:marRight w:val="0"/>
          <w:marTop w:val="0"/>
          <w:marBottom w:val="0"/>
          <w:divBdr>
            <w:top w:val="none" w:sz="0" w:space="0" w:color="auto"/>
            <w:left w:val="none" w:sz="0" w:space="0" w:color="auto"/>
            <w:bottom w:val="none" w:sz="0" w:space="0" w:color="auto"/>
            <w:right w:val="none" w:sz="0" w:space="0" w:color="auto"/>
          </w:divBdr>
        </w:div>
        <w:div w:id="268971802">
          <w:marLeft w:val="0"/>
          <w:marRight w:val="0"/>
          <w:marTop w:val="0"/>
          <w:marBottom w:val="0"/>
          <w:divBdr>
            <w:top w:val="none" w:sz="0" w:space="0" w:color="auto"/>
            <w:left w:val="none" w:sz="0" w:space="0" w:color="auto"/>
            <w:bottom w:val="none" w:sz="0" w:space="0" w:color="auto"/>
            <w:right w:val="none" w:sz="0" w:space="0" w:color="auto"/>
          </w:divBdr>
        </w:div>
        <w:div w:id="525488113">
          <w:marLeft w:val="0"/>
          <w:marRight w:val="0"/>
          <w:marTop w:val="0"/>
          <w:marBottom w:val="0"/>
          <w:divBdr>
            <w:top w:val="none" w:sz="0" w:space="0" w:color="auto"/>
            <w:left w:val="none" w:sz="0" w:space="0" w:color="auto"/>
            <w:bottom w:val="none" w:sz="0" w:space="0" w:color="auto"/>
            <w:right w:val="none" w:sz="0" w:space="0" w:color="auto"/>
          </w:divBdr>
        </w:div>
        <w:div w:id="550072809">
          <w:marLeft w:val="0"/>
          <w:marRight w:val="0"/>
          <w:marTop w:val="0"/>
          <w:marBottom w:val="0"/>
          <w:divBdr>
            <w:top w:val="none" w:sz="0" w:space="0" w:color="auto"/>
            <w:left w:val="none" w:sz="0" w:space="0" w:color="auto"/>
            <w:bottom w:val="none" w:sz="0" w:space="0" w:color="auto"/>
            <w:right w:val="none" w:sz="0" w:space="0" w:color="auto"/>
          </w:divBdr>
        </w:div>
        <w:div w:id="1066413476">
          <w:marLeft w:val="0"/>
          <w:marRight w:val="0"/>
          <w:marTop w:val="0"/>
          <w:marBottom w:val="0"/>
          <w:divBdr>
            <w:top w:val="none" w:sz="0" w:space="0" w:color="auto"/>
            <w:left w:val="none" w:sz="0" w:space="0" w:color="auto"/>
            <w:bottom w:val="none" w:sz="0" w:space="0" w:color="auto"/>
            <w:right w:val="none" w:sz="0" w:space="0" w:color="auto"/>
          </w:divBdr>
        </w:div>
        <w:div w:id="1655141182">
          <w:marLeft w:val="0"/>
          <w:marRight w:val="0"/>
          <w:marTop w:val="0"/>
          <w:marBottom w:val="0"/>
          <w:divBdr>
            <w:top w:val="none" w:sz="0" w:space="0" w:color="auto"/>
            <w:left w:val="none" w:sz="0" w:space="0" w:color="auto"/>
            <w:bottom w:val="none" w:sz="0" w:space="0" w:color="auto"/>
            <w:right w:val="none" w:sz="0" w:space="0" w:color="auto"/>
          </w:divBdr>
        </w:div>
      </w:divsChild>
    </w:div>
    <w:div w:id="650450941">
      <w:bodyDiv w:val="1"/>
      <w:marLeft w:val="0"/>
      <w:marRight w:val="0"/>
      <w:marTop w:val="0"/>
      <w:marBottom w:val="0"/>
      <w:divBdr>
        <w:top w:val="none" w:sz="0" w:space="0" w:color="auto"/>
        <w:left w:val="none" w:sz="0" w:space="0" w:color="auto"/>
        <w:bottom w:val="none" w:sz="0" w:space="0" w:color="auto"/>
        <w:right w:val="none" w:sz="0" w:space="0" w:color="auto"/>
      </w:divBdr>
      <w:divsChild>
        <w:div w:id="83844133">
          <w:marLeft w:val="0"/>
          <w:marRight w:val="0"/>
          <w:marTop w:val="0"/>
          <w:marBottom w:val="0"/>
          <w:divBdr>
            <w:top w:val="none" w:sz="0" w:space="0" w:color="auto"/>
            <w:left w:val="none" w:sz="0" w:space="0" w:color="auto"/>
            <w:bottom w:val="none" w:sz="0" w:space="0" w:color="auto"/>
            <w:right w:val="none" w:sz="0" w:space="0" w:color="auto"/>
          </w:divBdr>
          <w:divsChild>
            <w:div w:id="1956785088">
              <w:marLeft w:val="0"/>
              <w:marRight w:val="0"/>
              <w:marTop w:val="0"/>
              <w:marBottom w:val="0"/>
              <w:divBdr>
                <w:top w:val="none" w:sz="0" w:space="0" w:color="auto"/>
                <w:left w:val="none" w:sz="0" w:space="0" w:color="auto"/>
                <w:bottom w:val="none" w:sz="0" w:space="0" w:color="auto"/>
                <w:right w:val="none" w:sz="0" w:space="0" w:color="auto"/>
              </w:divBdr>
              <w:divsChild>
                <w:div w:id="14271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762145">
      <w:bodyDiv w:val="1"/>
      <w:marLeft w:val="0"/>
      <w:marRight w:val="0"/>
      <w:marTop w:val="0"/>
      <w:marBottom w:val="0"/>
      <w:divBdr>
        <w:top w:val="none" w:sz="0" w:space="0" w:color="auto"/>
        <w:left w:val="none" w:sz="0" w:space="0" w:color="auto"/>
        <w:bottom w:val="none" w:sz="0" w:space="0" w:color="auto"/>
        <w:right w:val="none" w:sz="0" w:space="0" w:color="auto"/>
      </w:divBdr>
    </w:div>
    <w:div w:id="688290118">
      <w:bodyDiv w:val="1"/>
      <w:marLeft w:val="0"/>
      <w:marRight w:val="0"/>
      <w:marTop w:val="0"/>
      <w:marBottom w:val="0"/>
      <w:divBdr>
        <w:top w:val="none" w:sz="0" w:space="0" w:color="auto"/>
        <w:left w:val="none" w:sz="0" w:space="0" w:color="auto"/>
        <w:bottom w:val="none" w:sz="0" w:space="0" w:color="auto"/>
        <w:right w:val="none" w:sz="0" w:space="0" w:color="auto"/>
      </w:divBdr>
    </w:div>
    <w:div w:id="695352024">
      <w:bodyDiv w:val="1"/>
      <w:marLeft w:val="0"/>
      <w:marRight w:val="0"/>
      <w:marTop w:val="0"/>
      <w:marBottom w:val="0"/>
      <w:divBdr>
        <w:top w:val="none" w:sz="0" w:space="0" w:color="auto"/>
        <w:left w:val="none" w:sz="0" w:space="0" w:color="auto"/>
        <w:bottom w:val="none" w:sz="0" w:space="0" w:color="auto"/>
        <w:right w:val="none" w:sz="0" w:space="0" w:color="auto"/>
      </w:divBdr>
    </w:div>
    <w:div w:id="708798422">
      <w:bodyDiv w:val="1"/>
      <w:marLeft w:val="0"/>
      <w:marRight w:val="0"/>
      <w:marTop w:val="0"/>
      <w:marBottom w:val="0"/>
      <w:divBdr>
        <w:top w:val="none" w:sz="0" w:space="0" w:color="auto"/>
        <w:left w:val="none" w:sz="0" w:space="0" w:color="auto"/>
        <w:bottom w:val="none" w:sz="0" w:space="0" w:color="auto"/>
        <w:right w:val="none" w:sz="0" w:space="0" w:color="auto"/>
      </w:divBdr>
    </w:div>
    <w:div w:id="762729232">
      <w:bodyDiv w:val="1"/>
      <w:marLeft w:val="0"/>
      <w:marRight w:val="0"/>
      <w:marTop w:val="0"/>
      <w:marBottom w:val="0"/>
      <w:divBdr>
        <w:top w:val="none" w:sz="0" w:space="0" w:color="auto"/>
        <w:left w:val="none" w:sz="0" w:space="0" w:color="auto"/>
        <w:bottom w:val="none" w:sz="0" w:space="0" w:color="auto"/>
        <w:right w:val="none" w:sz="0" w:space="0" w:color="auto"/>
      </w:divBdr>
      <w:divsChild>
        <w:div w:id="1730690804">
          <w:marLeft w:val="0"/>
          <w:marRight w:val="0"/>
          <w:marTop w:val="0"/>
          <w:marBottom w:val="0"/>
          <w:divBdr>
            <w:top w:val="none" w:sz="0" w:space="0" w:color="auto"/>
            <w:left w:val="none" w:sz="0" w:space="0" w:color="auto"/>
            <w:bottom w:val="none" w:sz="0" w:space="0" w:color="auto"/>
            <w:right w:val="none" w:sz="0" w:space="0" w:color="auto"/>
          </w:divBdr>
          <w:divsChild>
            <w:div w:id="1629777567">
              <w:marLeft w:val="0"/>
              <w:marRight w:val="0"/>
              <w:marTop w:val="0"/>
              <w:marBottom w:val="0"/>
              <w:divBdr>
                <w:top w:val="none" w:sz="0" w:space="0" w:color="auto"/>
                <w:left w:val="none" w:sz="0" w:space="0" w:color="auto"/>
                <w:bottom w:val="none" w:sz="0" w:space="0" w:color="auto"/>
                <w:right w:val="none" w:sz="0" w:space="0" w:color="auto"/>
              </w:divBdr>
              <w:divsChild>
                <w:div w:id="8484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347521">
      <w:bodyDiv w:val="1"/>
      <w:marLeft w:val="0"/>
      <w:marRight w:val="0"/>
      <w:marTop w:val="0"/>
      <w:marBottom w:val="0"/>
      <w:divBdr>
        <w:top w:val="none" w:sz="0" w:space="0" w:color="auto"/>
        <w:left w:val="none" w:sz="0" w:space="0" w:color="auto"/>
        <w:bottom w:val="none" w:sz="0" w:space="0" w:color="auto"/>
        <w:right w:val="none" w:sz="0" w:space="0" w:color="auto"/>
      </w:divBdr>
    </w:div>
    <w:div w:id="822233234">
      <w:bodyDiv w:val="1"/>
      <w:marLeft w:val="0"/>
      <w:marRight w:val="0"/>
      <w:marTop w:val="0"/>
      <w:marBottom w:val="0"/>
      <w:divBdr>
        <w:top w:val="none" w:sz="0" w:space="0" w:color="auto"/>
        <w:left w:val="none" w:sz="0" w:space="0" w:color="auto"/>
        <w:bottom w:val="none" w:sz="0" w:space="0" w:color="auto"/>
        <w:right w:val="none" w:sz="0" w:space="0" w:color="auto"/>
      </w:divBdr>
      <w:divsChild>
        <w:div w:id="610627756">
          <w:marLeft w:val="0"/>
          <w:marRight w:val="0"/>
          <w:marTop w:val="0"/>
          <w:marBottom w:val="0"/>
          <w:divBdr>
            <w:top w:val="none" w:sz="0" w:space="0" w:color="auto"/>
            <w:left w:val="none" w:sz="0" w:space="0" w:color="auto"/>
            <w:bottom w:val="none" w:sz="0" w:space="0" w:color="auto"/>
            <w:right w:val="none" w:sz="0" w:space="0" w:color="auto"/>
          </w:divBdr>
          <w:divsChild>
            <w:div w:id="938022294">
              <w:marLeft w:val="0"/>
              <w:marRight w:val="0"/>
              <w:marTop w:val="0"/>
              <w:marBottom w:val="0"/>
              <w:divBdr>
                <w:top w:val="none" w:sz="0" w:space="0" w:color="auto"/>
                <w:left w:val="none" w:sz="0" w:space="0" w:color="auto"/>
                <w:bottom w:val="none" w:sz="0" w:space="0" w:color="auto"/>
                <w:right w:val="none" w:sz="0" w:space="0" w:color="auto"/>
              </w:divBdr>
              <w:divsChild>
                <w:div w:id="19947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4798">
      <w:bodyDiv w:val="1"/>
      <w:marLeft w:val="0"/>
      <w:marRight w:val="0"/>
      <w:marTop w:val="0"/>
      <w:marBottom w:val="0"/>
      <w:divBdr>
        <w:top w:val="none" w:sz="0" w:space="0" w:color="auto"/>
        <w:left w:val="none" w:sz="0" w:space="0" w:color="auto"/>
        <w:bottom w:val="none" w:sz="0" w:space="0" w:color="auto"/>
        <w:right w:val="none" w:sz="0" w:space="0" w:color="auto"/>
      </w:divBdr>
      <w:divsChild>
        <w:div w:id="842476325">
          <w:marLeft w:val="0"/>
          <w:marRight w:val="0"/>
          <w:marTop w:val="0"/>
          <w:marBottom w:val="0"/>
          <w:divBdr>
            <w:top w:val="none" w:sz="0" w:space="0" w:color="auto"/>
            <w:left w:val="none" w:sz="0" w:space="0" w:color="auto"/>
            <w:bottom w:val="none" w:sz="0" w:space="0" w:color="auto"/>
            <w:right w:val="none" w:sz="0" w:space="0" w:color="auto"/>
          </w:divBdr>
          <w:divsChild>
            <w:div w:id="101801261">
              <w:marLeft w:val="0"/>
              <w:marRight w:val="0"/>
              <w:marTop w:val="0"/>
              <w:marBottom w:val="0"/>
              <w:divBdr>
                <w:top w:val="none" w:sz="0" w:space="0" w:color="auto"/>
                <w:left w:val="none" w:sz="0" w:space="0" w:color="auto"/>
                <w:bottom w:val="none" w:sz="0" w:space="0" w:color="auto"/>
                <w:right w:val="none" w:sz="0" w:space="0" w:color="auto"/>
              </w:divBdr>
              <w:divsChild>
                <w:div w:id="1525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25193">
      <w:bodyDiv w:val="1"/>
      <w:marLeft w:val="0"/>
      <w:marRight w:val="0"/>
      <w:marTop w:val="0"/>
      <w:marBottom w:val="0"/>
      <w:divBdr>
        <w:top w:val="none" w:sz="0" w:space="0" w:color="auto"/>
        <w:left w:val="none" w:sz="0" w:space="0" w:color="auto"/>
        <w:bottom w:val="none" w:sz="0" w:space="0" w:color="auto"/>
        <w:right w:val="none" w:sz="0" w:space="0" w:color="auto"/>
      </w:divBdr>
    </w:div>
    <w:div w:id="898592938">
      <w:bodyDiv w:val="1"/>
      <w:marLeft w:val="0"/>
      <w:marRight w:val="0"/>
      <w:marTop w:val="0"/>
      <w:marBottom w:val="0"/>
      <w:divBdr>
        <w:top w:val="none" w:sz="0" w:space="0" w:color="auto"/>
        <w:left w:val="none" w:sz="0" w:space="0" w:color="auto"/>
        <w:bottom w:val="none" w:sz="0" w:space="0" w:color="auto"/>
        <w:right w:val="none" w:sz="0" w:space="0" w:color="auto"/>
      </w:divBdr>
      <w:divsChild>
        <w:div w:id="369720093">
          <w:marLeft w:val="0"/>
          <w:marRight w:val="0"/>
          <w:marTop w:val="0"/>
          <w:marBottom w:val="0"/>
          <w:divBdr>
            <w:top w:val="none" w:sz="0" w:space="0" w:color="auto"/>
            <w:left w:val="none" w:sz="0" w:space="0" w:color="auto"/>
            <w:bottom w:val="none" w:sz="0" w:space="0" w:color="auto"/>
            <w:right w:val="none" w:sz="0" w:space="0" w:color="auto"/>
          </w:divBdr>
        </w:div>
        <w:div w:id="651101336">
          <w:marLeft w:val="0"/>
          <w:marRight w:val="0"/>
          <w:marTop w:val="0"/>
          <w:marBottom w:val="0"/>
          <w:divBdr>
            <w:top w:val="none" w:sz="0" w:space="0" w:color="auto"/>
            <w:left w:val="none" w:sz="0" w:space="0" w:color="auto"/>
            <w:bottom w:val="none" w:sz="0" w:space="0" w:color="auto"/>
            <w:right w:val="none" w:sz="0" w:space="0" w:color="auto"/>
          </w:divBdr>
        </w:div>
        <w:div w:id="1001352812">
          <w:marLeft w:val="0"/>
          <w:marRight w:val="0"/>
          <w:marTop w:val="0"/>
          <w:marBottom w:val="0"/>
          <w:divBdr>
            <w:top w:val="none" w:sz="0" w:space="0" w:color="auto"/>
            <w:left w:val="none" w:sz="0" w:space="0" w:color="auto"/>
            <w:bottom w:val="none" w:sz="0" w:space="0" w:color="auto"/>
            <w:right w:val="none" w:sz="0" w:space="0" w:color="auto"/>
          </w:divBdr>
        </w:div>
        <w:div w:id="1359358924">
          <w:marLeft w:val="0"/>
          <w:marRight w:val="0"/>
          <w:marTop w:val="0"/>
          <w:marBottom w:val="0"/>
          <w:divBdr>
            <w:top w:val="none" w:sz="0" w:space="0" w:color="auto"/>
            <w:left w:val="none" w:sz="0" w:space="0" w:color="auto"/>
            <w:bottom w:val="none" w:sz="0" w:space="0" w:color="auto"/>
            <w:right w:val="none" w:sz="0" w:space="0" w:color="auto"/>
          </w:divBdr>
        </w:div>
        <w:div w:id="1488785725">
          <w:marLeft w:val="0"/>
          <w:marRight w:val="0"/>
          <w:marTop w:val="0"/>
          <w:marBottom w:val="0"/>
          <w:divBdr>
            <w:top w:val="none" w:sz="0" w:space="0" w:color="auto"/>
            <w:left w:val="none" w:sz="0" w:space="0" w:color="auto"/>
            <w:bottom w:val="none" w:sz="0" w:space="0" w:color="auto"/>
            <w:right w:val="none" w:sz="0" w:space="0" w:color="auto"/>
          </w:divBdr>
        </w:div>
        <w:div w:id="1731925315">
          <w:marLeft w:val="0"/>
          <w:marRight w:val="0"/>
          <w:marTop w:val="0"/>
          <w:marBottom w:val="0"/>
          <w:divBdr>
            <w:top w:val="none" w:sz="0" w:space="0" w:color="auto"/>
            <w:left w:val="none" w:sz="0" w:space="0" w:color="auto"/>
            <w:bottom w:val="none" w:sz="0" w:space="0" w:color="auto"/>
            <w:right w:val="none" w:sz="0" w:space="0" w:color="auto"/>
          </w:divBdr>
        </w:div>
        <w:div w:id="1863468476">
          <w:marLeft w:val="0"/>
          <w:marRight w:val="0"/>
          <w:marTop w:val="0"/>
          <w:marBottom w:val="0"/>
          <w:divBdr>
            <w:top w:val="none" w:sz="0" w:space="0" w:color="auto"/>
            <w:left w:val="none" w:sz="0" w:space="0" w:color="auto"/>
            <w:bottom w:val="none" w:sz="0" w:space="0" w:color="auto"/>
            <w:right w:val="none" w:sz="0" w:space="0" w:color="auto"/>
          </w:divBdr>
        </w:div>
      </w:divsChild>
    </w:div>
    <w:div w:id="913516046">
      <w:bodyDiv w:val="1"/>
      <w:marLeft w:val="0"/>
      <w:marRight w:val="0"/>
      <w:marTop w:val="0"/>
      <w:marBottom w:val="0"/>
      <w:divBdr>
        <w:top w:val="none" w:sz="0" w:space="0" w:color="auto"/>
        <w:left w:val="none" w:sz="0" w:space="0" w:color="auto"/>
        <w:bottom w:val="none" w:sz="0" w:space="0" w:color="auto"/>
        <w:right w:val="none" w:sz="0" w:space="0" w:color="auto"/>
      </w:divBdr>
    </w:div>
    <w:div w:id="919293265">
      <w:bodyDiv w:val="1"/>
      <w:marLeft w:val="0"/>
      <w:marRight w:val="0"/>
      <w:marTop w:val="0"/>
      <w:marBottom w:val="0"/>
      <w:divBdr>
        <w:top w:val="none" w:sz="0" w:space="0" w:color="auto"/>
        <w:left w:val="none" w:sz="0" w:space="0" w:color="auto"/>
        <w:bottom w:val="none" w:sz="0" w:space="0" w:color="auto"/>
        <w:right w:val="none" w:sz="0" w:space="0" w:color="auto"/>
      </w:divBdr>
      <w:divsChild>
        <w:div w:id="280310407">
          <w:marLeft w:val="0"/>
          <w:marRight w:val="0"/>
          <w:marTop w:val="0"/>
          <w:marBottom w:val="0"/>
          <w:divBdr>
            <w:top w:val="none" w:sz="0" w:space="0" w:color="auto"/>
            <w:left w:val="none" w:sz="0" w:space="0" w:color="auto"/>
            <w:bottom w:val="none" w:sz="0" w:space="0" w:color="auto"/>
            <w:right w:val="none" w:sz="0" w:space="0" w:color="auto"/>
          </w:divBdr>
        </w:div>
        <w:div w:id="382216746">
          <w:marLeft w:val="0"/>
          <w:marRight w:val="0"/>
          <w:marTop w:val="0"/>
          <w:marBottom w:val="0"/>
          <w:divBdr>
            <w:top w:val="none" w:sz="0" w:space="0" w:color="auto"/>
            <w:left w:val="none" w:sz="0" w:space="0" w:color="auto"/>
            <w:bottom w:val="none" w:sz="0" w:space="0" w:color="auto"/>
            <w:right w:val="none" w:sz="0" w:space="0" w:color="auto"/>
          </w:divBdr>
        </w:div>
        <w:div w:id="651642303">
          <w:marLeft w:val="0"/>
          <w:marRight w:val="0"/>
          <w:marTop w:val="0"/>
          <w:marBottom w:val="0"/>
          <w:divBdr>
            <w:top w:val="none" w:sz="0" w:space="0" w:color="auto"/>
            <w:left w:val="none" w:sz="0" w:space="0" w:color="auto"/>
            <w:bottom w:val="none" w:sz="0" w:space="0" w:color="auto"/>
            <w:right w:val="none" w:sz="0" w:space="0" w:color="auto"/>
          </w:divBdr>
        </w:div>
        <w:div w:id="856308612">
          <w:marLeft w:val="0"/>
          <w:marRight w:val="0"/>
          <w:marTop w:val="0"/>
          <w:marBottom w:val="0"/>
          <w:divBdr>
            <w:top w:val="none" w:sz="0" w:space="0" w:color="auto"/>
            <w:left w:val="none" w:sz="0" w:space="0" w:color="auto"/>
            <w:bottom w:val="none" w:sz="0" w:space="0" w:color="auto"/>
            <w:right w:val="none" w:sz="0" w:space="0" w:color="auto"/>
          </w:divBdr>
        </w:div>
        <w:div w:id="893006903">
          <w:marLeft w:val="0"/>
          <w:marRight w:val="0"/>
          <w:marTop w:val="0"/>
          <w:marBottom w:val="0"/>
          <w:divBdr>
            <w:top w:val="none" w:sz="0" w:space="0" w:color="auto"/>
            <w:left w:val="none" w:sz="0" w:space="0" w:color="auto"/>
            <w:bottom w:val="none" w:sz="0" w:space="0" w:color="auto"/>
            <w:right w:val="none" w:sz="0" w:space="0" w:color="auto"/>
          </w:divBdr>
        </w:div>
        <w:div w:id="1019047440">
          <w:marLeft w:val="0"/>
          <w:marRight w:val="0"/>
          <w:marTop w:val="0"/>
          <w:marBottom w:val="0"/>
          <w:divBdr>
            <w:top w:val="none" w:sz="0" w:space="0" w:color="auto"/>
            <w:left w:val="none" w:sz="0" w:space="0" w:color="auto"/>
            <w:bottom w:val="none" w:sz="0" w:space="0" w:color="auto"/>
            <w:right w:val="none" w:sz="0" w:space="0" w:color="auto"/>
          </w:divBdr>
        </w:div>
        <w:div w:id="1050571229">
          <w:marLeft w:val="0"/>
          <w:marRight w:val="0"/>
          <w:marTop w:val="0"/>
          <w:marBottom w:val="0"/>
          <w:divBdr>
            <w:top w:val="none" w:sz="0" w:space="0" w:color="auto"/>
            <w:left w:val="none" w:sz="0" w:space="0" w:color="auto"/>
            <w:bottom w:val="none" w:sz="0" w:space="0" w:color="auto"/>
            <w:right w:val="none" w:sz="0" w:space="0" w:color="auto"/>
          </w:divBdr>
        </w:div>
        <w:div w:id="1116485530">
          <w:marLeft w:val="0"/>
          <w:marRight w:val="0"/>
          <w:marTop w:val="0"/>
          <w:marBottom w:val="0"/>
          <w:divBdr>
            <w:top w:val="none" w:sz="0" w:space="0" w:color="auto"/>
            <w:left w:val="none" w:sz="0" w:space="0" w:color="auto"/>
            <w:bottom w:val="none" w:sz="0" w:space="0" w:color="auto"/>
            <w:right w:val="none" w:sz="0" w:space="0" w:color="auto"/>
          </w:divBdr>
        </w:div>
        <w:div w:id="1225525637">
          <w:marLeft w:val="0"/>
          <w:marRight w:val="0"/>
          <w:marTop w:val="0"/>
          <w:marBottom w:val="0"/>
          <w:divBdr>
            <w:top w:val="none" w:sz="0" w:space="0" w:color="auto"/>
            <w:left w:val="none" w:sz="0" w:space="0" w:color="auto"/>
            <w:bottom w:val="none" w:sz="0" w:space="0" w:color="auto"/>
            <w:right w:val="none" w:sz="0" w:space="0" w:color="auto"/>
          </w:divBdr>
        </w:div>
        <w:div w:id="1526551631">
          <w:marLeft w:val="0"/>
          <w:marRight w:val="0"/>
          <w:marTop w:val="0"/>
          <w:marBottom w:val="0"/>
          <w:divBdr>
            <w:top w:val="none" w:sz="0" w:space="0" w:color="auto"/>
            <w:left w:val="none" w:sz="0" w:space="0" w:color="auto"/>
            <w:bottom w:val="none" w:sz="0" w:space="0" w:color="auto"/>
            <w:right w:val="none" w:sz="0" w:space="0" w:color="auto"/>
          </w:divBdr>
        </w:div>
        <w:div w:id="1914390855">
          <w:marLeft w:val="0"/>
          <w:marRight w:val="0"/>
          <w:marTop w:val="0"/>
          <w:marBottom w:val="0"/>
          <w:divBdr>
            <w:top w:val="none" w:sz="0" w:space="0" w:color="auto"/>
            <w:left w:val="none" w:sz="0" w:space="0" w:color="auto"/>
            <w:bottom w:val="none" w:sz="0" w:space="0" w:color="auto"/>
            <w:right w:val="none" w:sz="0" w:space="0" w:color="auto"/>
          </w:divBdr>
        </w:div>
        <w:div w:id="1962685013">
          <w:marLeft w:val="0"/>
          <w:marRight w:val="0"/>
          <w:marTop w:val="0"/>
          <w:marBottom w:val="0"/>
          <w:divBdr>
            <w:top w:val="none" w:sz="0" w:space="0" w:color="auto"/>
            <w:left w:val="none" w:sz="0" w:space="0" w:color="auto"/>
            <w:bottom w:val="none" w:sz="0" w:space="0" w:color="auto"/>
            <w:right w:val="none" w:sz="0" w:space="0" w:color="auto"/>
          </w:divBdr>
        </w:div>
      </w:divsChild>
    </w:div>
    <w:div w:id="958334897">
      <w:bodyDiv w:val="1"/>
      <w:marLeft w:val="0"/>
      <w:marRight w:val="0"/>
      <w:marTop w:val="0"/>
      <w:marBottom w:val="0"/>
      <w:divBdr>
        <w:top w:val="none" w:sz="0" w:space="0" w:color="auto"/>
        <w:left w:val="none" w:sz="0" w:space="0" w:color="auto"/>
        <w:bottom w:val="none" w:sz="0" w:space="0" w:color="auto"/>
        <w:right w:val="none" w:sz="0" w:space="0" w:color="auto"/>
      </w:divBdr>
    </w:div>
    <w:div w:id="967246791">
      <w:bodyDiv w:val="1"/>
      <w:marLeft w:val="0"/>
      <w:marRight w:val="0"/>
      <w:marTop w:val="0"/>
      <w:marBottom w:val="0"/>
      <w:divBdr>
        <w:top w:val="none" w:sz="0" w:space="0" w:color="auto"/>
        <w:left w:val="none" w:sz="0" w:space="0" w:color="auto"/>
        <w:bottom w:val="none" w:sz="0" w:space="0" w:color="auto"/>
        <w:right w:val="none" w:sz="0" w:space="0" w:color="auto"/>
      </w:divBdr>
      <w:divsChild>
        <w:div w:id="1850293877">
          <w:marLeft w:val="0"/>
          <w:marRight w:val="0"/>
          <w:marTop w:val="0"/>
          <w:marBottom w:val="0"/>
          <w:divBdr>
            <w:top w:val="none" w:sz="0" w:space="0" w:color="auto"/>
            <w:left w:val="none" w:sz="0" w:space="0" w:color="auto"/>
            <w:bottom w:val="none" w:sz="0" w:space="0" w:color="auto"/>
            <w:right w:val="none" w:sz="0" w:space="0" w:color="auto"/>
          </w:divBdr>
        </w:div>
      </w:divsChild>
    </w:div>
    <w:div w:id="984627638">
      <w:bodyDiv w:val="1"/>
      <w:marLeft w:val="0"/>
      <w:marRight w:val="0"/>
      <w:marTop w:val="0"/>
      <w:marBottom w:val="0"/>
      <w:divBdr>
        <w:top w:val="none" w:sz="0" w:space="0" w:color="auto"/>
        <w:left w:val="none" w:sz="0" w:space="0" w:color="auto"/>
        <w:bottom w:val="none" w:sz="0" w:space="0" w:color="auto"/>
        <w:right w:val="none" w:sz="0" w:space="0" w:color="auto"/>
      </w:divBdr>
    </w:div>
    <w:div w:id="1112938368">
      <w:bodyDiv w:val="1"/>
      <w:marLeft w:val="0"/>
      <w:marRight w:val="0"/>
      <w:marTop w:val="0"/>
      <w:marBottom w:val="0"/>
      <w:divBdr>
        <w:top w:val="none" w:sz="0" w:space="0" w:color="auto"/>
        <w:left w:val="none" w:sz="0" w:space="0" w:color="auto"/>
        <w:bottom w:val="none" w:sz="0" w:space="0" w:color="auto"/>
        <w:right w:val="none" w:sz="0" w:space="0" w:color="auto"/>
      </w:divBdr>
      <w:divsChild>
        <w:div w:id="210701201">
          <w:marLeft w:val="0"/>
          <w:marRight w:val="0"/>
          <w:marTop w:val="0"/>
          <w:marBottom w:val="0"/>
          <w:divBdr>
            <w:top w:val="none" w:sz="0" w:space="0" w:color="auto"/>
            <w:left w:val="none" w:sz="0" w:space="0" w:color="auto"/>
            <w:bottom w:val="none" w:sz="0" w:space="0" w:color="auto"/>
            <w:right w:val="none" w:sz="0" w:space="0" w:color="auto"/>
          </w:divBdr>
        </w:div>
        <w:div w:id="355740068">
          <w:marLeft w:val="0"/>
          <w:marRight w:val="0"/>
          <w:marTop w:val="0"/>
          <w:marBottom w:val="0"/>
          <w:divBdr>
            <w:top w:val="none" w:sz="0" w:space="0" w:color="auto"/>
            <w:left w:val="none" w:sz="0" w:space="0" w:color="auto"/>
            <w:bottom w:val="none" w:sz="0" w:space="0" w:color="auto"/>
            <w:right w:val="none" w:sz="0" w:space="0" w:color="auto"/>
          </w:divBdr>
        </w:div>
        <w:div w:id="605769498">
          <w:marLeft w:val="0"/>
          <w:marRight w:val="0"/>
          <w:marTop w:val="0"/>
          <w:marBottom w:val="0"/>
          <w:divBdr>
            <w:top w:val="none" w:sz="0" w:space="0" w:color="auto"/>
            <w:left w:val="none" w:sz="0" w:space="0" w:color="auto"/>
            <w:bottom w:val="none" w:sz="0" w:space="0" w:color="auto"/>
            <w:right w:val="none" w:sz="0" w:space="0" w:color="auto"/>
          </w:divBdr>
        </w:div>
        <w:div w:id="1622497438">
          <w:marLeft w:val="0"/>
          <w:marRight w:val="0"/>
          <w:marTop w:val="0"/>
          <w:marBottom w:val="0"/>
          <w:divBdr>
            <w:top w:val="none" w:sz="0" w:space="0" w:color="auto"/>
            <w:left w:val="none" w:sz="0" w:space="0" w:color="auto"/>
            <w:bottom w:val="none" w:sz="0" w:space="0" w:color="auto"/>
            <w:right w:val="none" w:sz="0" w:space="0" w:color="auto"/>
          </w:divBdr>
        </w:div>
        <w:div w:id="1758404448">
          <w:marLeft w:val="0"/>
          <w:marRight w:val="0"/>
          <w:marTop w:val="0"/>
          <w:marBottom w:val="0"/>
          <w:divBdr>
            <w:top w:val="none" w:sz="0" w:space="0" w:color="auto"/>
            <w:left w:val="none" w:sz="0" w:space="0" w:color="auto"/>
            <w:bottom w:val="none" w:sz="0" w:space="0" w:color="auto"/>
            <w:right w:val="none" w:sz="0" w:space="0" w:color="auto"/>
          </w:divBdr>
        </w:div>
        <w:div w:id="1759060624">
          <w:marLeft w:val="0"/>
          <w:marRight w:val="0"/>
          <w:marTop w:val="0"/>
          <w:marBottom w:val="0"/>
          <w:divBdr>
            <w:top w:val="none" w:sz="0" w:space="0" w:color="auto"/>
            <w:left w:val="none" w:sz="0" w:space="0" w:color="auto"/>
            <w:bottom w:val="none" w:sz="0" w:space="0" w:color="auto"/>
            <w:right w:val="none" w:sz="0" w:space="0" w:color="auto"/>
          </w:divBdr>
        </w:div>
      </w:divsChild>
    </w:div>
    <w:div w:id="1130173357">
      <w:bodyDiv w:val="1"/>
      <w:marLeft w:val="0"/>
      <w:marRight w:val="0"/>
      <w:marTop w:val="0"/>
      <w:marBottom w:val="0"/>
      <w:divBdr>
        <w:top w:val="none" w:sz="0" w:space="0" w:color="auto"/>
        <w:left w:val="none" w:sz="0" w:space="0" w:color="auto"/>
        <w:bottom w:val="none" w:sz="0" w:space="0" w:color="auto"/>
        <w:right w:val="none" w:sz="0" w:space="0" w:color="auto"/>
      </w:divBdr>
    </w:div>
    <w:div w:id="1224874561">
      <w:bodyDiv w:val="1"/>
      <w:marLeft w:val="0"/>
      <w:marRight w:val="0"/>
      <w:marTop w:val="0"/>
      <w:marBottom w:val="0"/>
      <w:divBdr>
        <w:top w:val="none" w:sz="0" w:space="0" w:color="auto"/>
        <w:left w:val="none" w:sz="0" w:space="0" w:color="auto"/>
        <w:bottom w:val="none" w:sz="0" w:space="0" w:color="auto"/>
        <w:right w:val="none" w:sz="0" w:space="0" w:color="auto"/>
      </w:divBdr>
    </w:div>
    <w:div w:id="1233658026">
      <w:bodyDiv w:val="1"/>
      <w:marLeft w:val="0"/>
      <w:marRight w:val="0"/>
      <w:marTop w:val="0"/>
      <w:marBottom w:val="0"/>
      <w:divBdr>
        <w:top w:val="none" w:sz="0" w:space="0" w:color="auto"/>
        <w:left w:val="none" w:sz="0" w:space="0" w:color="auto"/>
        <w:bottom w:val="none" w:sz="0" w:space="0" w:color="auto"/>
        <w:right w:val="none" w:sz="0" w:space="0" w:color="auto"/>
      </w:divBdr>
      <w:divsChild>
        <w:div w:id="1469006354">
          <w:marLeft w:val="0"/>
          <w:marRight w:val="0"/>
          <w:marTop w:val="0"/>
          <w:marBottom w:val="0"/>
          <w:divBdr>
            <w:top w:val="none" w:sz="0" w:space="0" w:color="auto"/>
            <w:left w:val="none" w:sz="0" w:space="0" w:color="auto"/>
            <w:bottom w:val="none" w:sz="0" w:space="0" w:color="auto"/>
            <w:right w:val="none" w:sz="0" w:space="0" w:color="auto"/>
          </w:divBdr>
        </w:div>
      </w:divsChild>
    </w:div>
    <w:div w:id="1263225980">
      <w:bodyDiv w:val="1"/>
      <w:marLeft w:val="0"/>
      <w:marRight w:val="0"/>
      <w:marTop w:val="0"/>
      <w:marBottom w:val="0"/>
      <w:divBdr>
        <w:top w:val="none" w:sz="0" w:space="0" w:color="auto"/>
        <w:left w:val="none" w:sz="0" w:space="0" w:color="auto"/>
        <w:bottom w:val="none" w:sz="0" w:space="0" w:color="auto"/>
        <w:right w:val="none" w:sz="0" w:space="0" w:color="auto"/>
      </w:divBdr>
      <w:divsChild>
        <w:div w:id="357783069">
          <w:marLeft w:val="0"/>
          <w:marRight w:val="0"/>
          <w:marTop w:val="0"/>
          <w:marBottom w:val="0"/>
          <w:divBdr>
            <w:top w:val="none" w:sz="0" w:space="0" w:color="auto"/>
            <w:left w:val="none" w:sz="0" w:space="0" w:color="auto"/>
            <w:bottom w:val="none" w:sz="0" w:space="0" w:color="auto"/>
            <w:right w:val="none" w:sz="0" w:space="0" w:color="auto"/>
          </w:divBdr>
        </w:div>
        <w:div w:id="1612401146">
          <w:marLeft w:val="0"/>
          <w:marRight w:val="0"/>
          <w:marTop w:val="0"/>
          <w:marBottom w:val="0"/>
          <w:divBdr>
            <w:top w:val="none" w:sz="0" w:space="0" w:color="auto"/>
            <w:left w:val="none" w:sz="0" w:space="0" w:color="auto"/>
            <w:bottom w:val="none" w:sz="0" w:space="0" w:color="auto"/>
            <w:right w:val="none" w:sz="0" w:space="0" w:color="auto"/>
          </w:divBdr>
        </w:div>
        <w:div w:id="1800609826">
          <w:marLeft w:val="0"/>
          <w:marRight w:val="0"/>
          <w:marTop w:val="0"/>
          <w:marBottom w:val="0"/>
          <w:divBdr>
            <w:top w:val="none" w:sz="0" w:space="0" w:color="auto"/>
            <w:left w:val="none" w:sz="0" w:space="0" w:color="auto"/>
            <w:bottom w:val="none" w:sz="0" w:space="0" w:color="auto"/>
            <w:right w:val="none" w:sz="0" w:space="0" w:color="auto"/>
          </w:divBdr>
        </w:div>
      </w:divsChild>
    </w:div>
    <w:div w:id="1271624365">
      <w:bodyDiv w:val="1"/>
      <w:marLeft w:val="0"/>
      <w:marRight w:val="0"/>
      <w:marTop w:val="0"/>
      <w:marBottom w:val="0"/>
      <w:divBdr>
        <w:top w:val="none" w:sz="0" w:space="0" w:color="auto"/>
        <w:left w:val="none" w:sz="0" w:space="0" w:color="auto"/>
        <w:bottom w:val="none" w:sz="0" w:space="0" w:color="auto"/>
        <w:right w:val="none" w:sz="0" w:space="0" w:color="auto"/>
      </w:divBdr>
      <w:divsChild>
        <w:div w:id="440346488">
          <w:marLeft w:val="0"/>
          <w:marRight w:val="0"/>
          <w:marTop w:val="0"/>
          <w:marBottom w:val="0"/>
          <w:divBdr>
            <w:top w:val="none" w:sz="0" w:space="0" w:color="auto"/>
            <w:left w:val="none" w:sz="0" w:space="0" w:color="auto"/>
            <w:bottom w:val="none" w:sz="0" w:space="0" w:color="auto"/>
            <w:right w:val="none" w:sz="0" w:space="0" w:color="auto"/>
          </w:divBdr>
        </w:div>
        <w:div w:id="585722865">
          <w:marLeft w:val="0"/>
          <w:marRight w:val="0"/>
          <w:marTop w:val="0"/>
          <w:marBottom w:val="0"/>
          <w:divBdr>
            <w:top w:val="none" w:sz="0" w:space="0" w:color="auto"/>
            <w:left w:val="none" w:sz="0" w:space="0" w:color="auto"/>
            <w:bottom w:val="none" w:sz="0" w:space="0" w:color="auto"/>
            <w:right w:val="none" w:sz="0" w:space="0" w:color="auto"/>
          </w:divBdr>
        </w:div>
        <w:div w:id="762605469">
          <w:marLeft w:val="0"/>
          <w:marRight w:val="0"/>
          <w:marTop w:val="0"/>
          <w:marBottom w:val="0"/>
          <w:divBdr>
            <w:top w:val="none" w:sz="0" w:space="0" w:color="auto"/>
            <w:left w:val="none" w:sz="0" w:space="0" w:color="auto"/>
            <w:bottom w:val="none" w:sz="0" w:space="0" w:color="auto"/>
            <w:right w:val="none" w:sz="0" w:space="0" w:color="auto"/>
          </w:divBdr>
        </w:div>
        <w:div w:id="796721517">
          <w:marLeft w:val="0"/>
          <w:marRight w:val="0"/>
          <w:marTop w:val="0"/>
          <w:marBottom w:val="0"/>
          <w:divBdr>
            <w:top w:val="none" w:sz="0" w:space="0" w:color="auto"/>
            <w:left w:val="none" w:sz="0" w:space="0" w:color="auto"/>
            <w:bottom w:val="none" w:sz="0" w:space="0" w:color="auto"/>
            <w:right w:val="none" w:sz="0" w:space="0" w:color="auto"/>
          </w:divBdr>
        </w:div>
        <w:div w:id="904292188">
          <w:marLeft w:val="0"/>
          <w:marRight w:val="0"/>
          <w:marTop w:val="0"/>
          <w:marBottom w:val="0"/>
          <w:divBdr>
            <w:top w:val="none" w:sz="0" w:space="0" w:color="auto"/>
            <w:left w:val="none" w:sz="0" w:space="0" w:color="auto"/>
            <w:bottom w:val="none" w:sz="0" w:space="0" w:color="auto"/>
            <w:right w:val="none" w:sz="0" w:space="0" w:color="auto"/>
          </w:divBdr>
        </w:div>
        <w:div w:id="932784625">
          <w:marLeft w:val="0"/>
          <w:marRight w:val="0"/>
          <w:marTop w:val="0"/>
          <w:marBottom w:val="0"/>
          <w:divBdr>
            <w:top w:val="none" w:sz="0" w:space="0" w:color="auto"/>
            <w:left w:val="none" w:sz="0" w:space="0" w:color="auto"/>
            <w:bottom w:val="none" w:sz="0" w:space="0" w:color="auto"/>
            <w:right w:val="none" w:sz="0" w:space="0" w:color="auto"/>
          </w:divBdr>
        </w:div>
        <w:div w:id="1135291218">
          <w:marLeft w:val="0"/>
          <w:marRight w:val="0"/>
          <w:marTop w:val="0"/>
          <w:marBottom w:val="0"/>
          <w:divBdr>
            <w:top w:val="none" w:sz="0" w:space="0" w:color="auto"/>
            <w:left w:val="none" w:sz="0" w:space="0" w:color="auto"/>
            <w:bottom w:val="none" w:sz="0" w:space="0" w:color="auto"/>
            <w:right w:val="none" w:sz="0" w:space="0" w:color="auto"/>
          </w:divBdr>
        </w:div>
        <w:div w:id="1585988905">
          <w:marLeft w:val="0"/>
          <w:marRight w:val="0"/>
          <w:marTop w:val="0"/>
          <w:marBottom w:val="0"/>
          <w:divBdr>
            <w:top w:val="none" w:sz="0" w:space="0" w:color="auto"/>
            <w:left w:val="none" w:sz="0" w:space="0" w:color="auto"/>
            <w:bottom w:val="none" w:sz="0" w:space="0" w:color="auto"/>
            <w:right w:val="none" w:sz="0" w:space="0" w:color="auto"/>
          </w:divBdr>
        </w:div>
        <w:div w:id="1862860807">
          <w:marLeft w:val="0"/>
          <w:marRight w:val="0"/>
          <w:marTop w:val="0"/>
          <w:marBottom w:val="0"/>
          <w:divBdr>
            <w:top w:val="none" w:sz="0" w:space="0" w:color="auto"/>
            <w:left w:val="none" w:sz="0" w:space="0" w:color="auto"/>
            <w:bottom w:val="none" w:sz="0" w:space="0" w:color="auto"/>
            <w:right w:val="none" w:sz="0" w:space="0" w:color="auto"/>
          </w:divBdr>
        </w:div>
        <w:div w:id="2070809712">
          <w:marLeft w:val="0"/>
          <w:marRight w:val="0"/>
          <w:marTop w:val="0"/>
          <w:marBottom w:val="0"/>
          <w:divBdr>
            <w:top w:val="none" w:sz="0" w:space="0" w:color="auto"/>
            <w:left w:val="none" w:sz="0" w:space="0" w:color="auto"/>
            <w:bottom w:val="none" w:sz="0" w:space="0" w:color="auto"/>
            <w:right w:val="none" w:sz="0" w:space="0" w:color="auto"/>
          </w:divBdr>
        </w:div>
      </w:divsChild>
    </w:div>
    <w:div w:id="1281716868">
      <w:bodyDiv w:val="1"/>
      <w:marLeft w:val="0"/>
      <w:marRight w:val="0"/>
      <w:marTop w:val="0"/>
      <w:marBottom w:val="0"/>
      <w:divBdr>
        <w:top w:val="none" w:sz="0" w:space="0" w:color="auto"/>
        <w:left w:val="none" w:sz="0" w:space="0" w:color="auto"/>
        <w:bottom w:val="none" w:sz="0" w:space="0" w:color="auto"/>
        <w:right w:val="none" w:sz="0" w:space="0" w:color="auto"/>
      </w:divBdr>
    </w:div>
    <w:div w:id="1312369873">
      <w:bodyDiv w:val="1"/>
      <w:marLeft w:val="0"/>
      <w:marRight w:val="0"/>
      <w:marTop w:val="0"/>
      <w:marBottom w:val="0"/>
      <w:divBdr>
        <w:top w:val="none" w:sz="0" w:space="0" w:color="auto"/>
        <w:left w:val="none" w:sz="0" w:space="0" w:color="auto"/>
        <w:bottom w:val="none" w:sz="0" w:space="0" w:color="auto"/>
        <w:right w:val="none" w:sz="0" w:space="0" w:color="auto"/>
      </w:divBdr>
    </w:div>
    <w:div w:id="1321155935">
      <w:bodyDiv w:val="1"/>
      <w:marLeft w:val="0"/>
      <w:marRight w:val="0"/>
      <w:marTop w:val="0"/>
      <w:marBottom w:val="0"/>
      <w:divBdr>
        <w:top w:val="none" w:sz="0" w:space="0" w:color="auto"/>
        <w:left w:val="none" w:sz="0" w:space="0" w:color="auto"/>
        <w:bottom w:val="none" w:sz="0" w:space="0" w:color="auto"/>
        <w:right w:val="none" w:sz="0" w:space="0" w:color="auto"/>
      </w:divBdr>
    </w:div>
    <w:div w:id="1323311829">
      <w:bodyDiv w:val="1"/>
      <w:marLeft w:val="0"/>
      <w:marRight w:val="0"/>
      <w:marTop w:val="0"/>
      <w:marBottom w:val="0"/>
      <w:divBdr>
        <w:top w:val="none" w:sz="0" w:space="0" w:color="auto"/>
        <w:left w:val="none" w:sz="0" w:space="0" w:color="auto"/>
        <w:bottom w:val="none" w:sz="0" w:space="0" w:color="auto"/>
        <w:right w:val="none" w:sz="0" w:space="0" w:color="auto"/>
      </w:divBdr>
      <w:divsChild>
        <w:div w:id="517357661">
          <w:marLeft w:val="0"/>
          <w:marRight w:val="0"/>
          <w:marTop w:val="0"/>
          <w:marBottom w:val="0"/>
          <w:divBdr>
            <w:top w:val="none" w:sz="0" w:space="0" w:color="auto"/>
            <w:left w:val="none" w:sz="0" w:space="0" w:color="auto"/>
            <w:bottom w:val="none" w:sz="0" w:space="0" w:color="auto"/>
            <w:right w:val="none" w:sz="0" w:space="0" w:color="auto"/>
          </w:divBdr>
        </w:div>
      </w:divsChild>
    </w:div>
    <w:div w:id="1333336551">
      <w:bodyDiv w:val="1"/>
      <w:marLeft w:val="0"/>
      <w:marRight w:val="0"/>
      <w:marTop w:val="0"/>
      <w:marBottom w:val="0"/>
      <w:divBdr>
        <w:top w:val="none" w:sz="0" w:space="0" w:color="auto"/>
        <w:left w:val="none" w:sz="0" w:space="0" w:color="auto"/>
        <w:bottom w:val="none" w:sz="0" w:space="0" w:color="auto"/>
        <w:right w:val="none" w:sz="0" w:space="0" w:color="auto"/>
      </w:divBdr>
      <w:divsChild>
        <w:div w:id="341736919">
          <w:marLeft w:val="0"/>
          <w:marRight w:val="0"/>
          <w:marTop w:val="0"/>
          <w:marBottom w:val="0"/>
          <w:divBdr>
            <w:top w:val="none" w:sz="0" w:space="0" w:color="auto"/>
            <w:left w:val="none" w:sz="0" w:space="0" w:color="auto"/>
            <w:bottom w:val="none" w:sz="0" w:space="0" w:color="auto"/>
            <w:right w:val="none" w:sz="0" w:space="0" w:color="auto"/>
          </w:divBdr>
          <w:divsChild>
            <w:div w:id="961309404">
              <w:marLeft w:val="0"/>
              <w:marRight w:val="0"/>
              <w:marTop w:val="0"/>
              <w:marBottom w:val="0"/>
              <w:divBdr>
                <w:top w:val="none" w:sz="0" w:space="0" w:color="auto"/>
                <w:left w:val="none" w:sz="0" w:space="0" w:color="auto"/>
                <w:bottom w:val="none" w:sz="0" w:space="0" w:color="auto"/>
                <w:right w:val="none" w:sz="0" w:space="0" w:color="auto"/>
              </w:divBdr>
              <w:divsChild>
                <w:div w:id="1968706212">
                  <w:marLeft w:val="0"/>
                  <w:marRight w:val="0"/>
                  <w:marTop w:val="0"/>
                  <w:marBottom w:val="0"/>
                  <w:divBdr>
                    <w:top w:val="none" w:sz="0" w:space="0" w:color="auto"/>
                    <w:left w:val="none" w:sz="0" w:space="0" w:color="auto"/>
                    <w:bottom w:val="none" w:sz="0" w:space="0" w:color="auto"/>
                    <w:right w:val="none" w:sz="0" w:space="0" w:color="auto"/>
                  </w:divBdr>
                  <w:divsChild>
                    <w:div w:id="1367563230">
                      <w:marLeft w:val="0"/>
                      <w:marRight w:val="0"/>
                      <w:marTop w:val="0"/>
                      <w:marBottom w:val="0"/>
                      <w:divBdr>
                        <w:top w:val="none" w:sz="0" w:space="0" w:color="auto"/>
                        <w:left w:val="none" w:sz="0" w:space="0" w:color="auto"/>
                        <w:bottom w:val="none" w:sz="0" w:space="0" w:color="auto"/>
                        <w:right w:val="none" w:sz="0" w:space="0" w:color="auto"/>
                      </w:divBdr>
                      <w:divsChild>
                        <w:div w:id="812992442">
                          <w:marLeft w:val="0"/>
                          <w:marRight w:val="0"/>
                          <w:marTop w:val="0"/>
                          <w:marBottom w:val="0"/>
                          <w:divBdr>
                            <w:top w:val="none" w:sz="0" w:space="0" w:color="auto"/>
                            <w:left w:val="none" w:sz="0" w:space="0" w:color="auto"/>
                            <w:bottom w:val="none" w:sz="0" w:space="0" w:color="auto"/>
                            <w:right w:val="none" w:sz="0" w:space="0" w:color="auto"/>
                          </w:divBdr>
                          <w:divsChild>
                            <w:div w:id="1280379292">
                              <w:marLeft w:val="-240"/>
                              <w:marRight w:val="-120"/>
                              <w:marTop w:val="0"/>
                              <w:marBottom w:val="0"/>
                              <w:divBdr>
                                <w:top w:val="none" w:sz="0" w:space="0" w:color="auto"/>
                                <w:left w:val="none" w:sz="0" w:space="0" w:color="auto"/>
                                <w:bottom w:val="none" w:sz="0" w:space="0" w:color="auto"/>
                                <w:right w:val="none" w:sz="0" w:space="0" w:color="auto"/>
                              </w:divBdr>
                              <w:divsChild>
                                <w:div w:id="818765863">
                                  <w:marLeft w:val="0"/>
                                  <w:marRight w:val="0"/>
                                  <w:marTop w:val="0"/>
                                  <w:marBottom w:val="60"/>
                                  <w:divBdr>
                                    <w:top w:val="none" w:sz="0" w:space="0" w:color="auto"/>
                                    <w:left w:val="none" w:sz="0" w:space="0" w:color="auto"/>
                                    <w:bottom w:val="none" w:sz="0" w:space="0" w:color="auto"/>
                                    <w:right w:val="none" w:sz="0" w:space="0" w:color="auto"/>
                                  </w:divBdr>
                                  <w:divsChild>
                                    <w:div w:id="1895970604">
                                      <w:marLeft w:val="0"/>
                                      <w:marRight w:val="0"/>
                                      <w:marTop w:val="0"/>
                                      <w:marBottom w:val="0"/>
                                      <w:divBdr>
                                        <w:top w:val="none" w:sz="0" w:space="0" w:color="auto"/>
                                        <w:left w:val="none" w:sz="0" w:space="0" w:color="auto"/>
                                        <w:bottom w:val="none" w:sz="0" w:space="0" w:color="auto"/>
                                        <w:right w:val="none" w:sz="0" w:space="0" w:color="auto"/>
                                      </w:divBdr>
                                      <w:divsChild>
                                        <w:div w:id="2443162">
                                          <w:marLeft w:val="0"/>
                                          <w:marRight w:val="0"/>
                                          <w:marTop w:val="0"/>
                                          <w:marBottom w:val="0"/>
                                          <w:divBdr>
                                            <w:top w:val="none" w:sz="0" w:space="0" w:color="auto"/>
                                            <w:left w:val="none" w:sz="0" w:space="0" w:color="auto"/>
                                            <w:bottom w:val="none" w:sz="0" w:space="0" w:color="auto"/>
                                            <w:right w:val="none" w:sz="0" w:space="0" w:color="auto"/>
                                          </w:divBdr>
                                          <w:divsChild>
                                            <w:div w:id="676228013">
                                              <w:marLeft w:val="0"/>
                                              <w:marRight w:val="0"/>
                                              <w:marTop w:val="0"/>
                                              <w:marBottom w:val="0"/>
                                              <w:divBdr>
                                                <w:top w:val="none" w:sz="0" w:space="0" w:color="auto"/>
                                                <w:left w:val="none" w:sz="0" w:space="0" w:color="auto"/>
                                                <w:bottom w:val="none" w:sz="0" w:space="0" w:color="auto"/>
                                                <w:right w:val="none" w:sz="0" w:space="0" w:color="auto"/>
                                              </w:divBdr>
                                              <w:divsChild>
                                                <w:div w:id="16169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787757">
                              <w:marLeft w:val="0"/>
                              <w:marRight w:val="120"/>
                              <w:marTop w:val="0"/>
                              <w:marBottom w:val="0"/>
                              <w:divBdr>
                                <w:top w:val="none" w:sz="0" w:space="0" w:color="auto"/>
                                <w:left w:val="none" w:sz="0" w:space="0" w:color="auto"/>
                                <w:bottom w:val="none" w:sz="0" w:space="0" w:color="auto"/>
                                <w:right w:val="none" w:sz="0" w:space="0" w:color="auto"/>
                              </w:divBdr>
                              <w:divsChild>
                                <w:div w:id="4546444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1346">
          <w:marLeft w:val="0"/>
          <w:marRight w:val="0"/>
          <w:marTop w:val="0"/>
          <w:marBottom w:val="0"/>
          <w:divBdr>
            <w:top w:val="none" w:sz="0" w:space="0" w:color="auto"/>
            <w:left w:val="none" w:sz="0" w:space="0" w:color="auto"/>
            <w:bottom w:val="none" w:sz="0" w:space="0" w:color="auto"/>
            <w:right w:val="none" w:sz="0" w:space="0" w:color="auto"/>
          </w:divBdr>
          <w:divsChild>
            <w:div w:id="111823045">
              <w:marLeft w:val="0"/>
              <w:marRight w:val="0"/>
              <w:marTop w:val="0"/>
              <w:marBottom w:val="0"/>
              <w:divBdr>
                <w:top w:val="none" w:sz="0" w:space="0" w:color="auto"/>
                <w:left w:val="none" w:sz="0" w:space="0" w:color="auto"/>
                <w:bottom w:val="none" w:sz="0" w:space="0" w:color="auto"/>
                <w:right w:val="none" w:sz="0" w:space="0" w:color="auto"/>
              </w:divBdr>
              <w:divsChild>
                <w:div w:id="213199945">
                  <w:marLeft w:val="0"/>
                  <w:marRight w:val="0"/>
                  <w:marTop w:val="0"/>
                  <w:marBottom w:val="0"/>
                  <w:divBdr>
                    <w:top w:val="none" w:sz="0" w:space="0" w:color="auto"/>
                    <w:left w:val="none" w:sz="0" w:space="0" w:color="auto"/>
                    <w:bottom w:val="none" w:sz="0" w:space="0" w:color="auto"/>
                    <w:right w:val="none" w:sz="0" w:space="0" w:color="auto"/>
                  </w:divBdr>
                  <w:divsChild>
                    <w:div w:id="206570793">
                      <w:marLeft w:val="0"/>
                      <w:marRight w:val="0"/>
                      <w:marTop w:val="0"/>
                      <w:marBottom w:val="0"/>
                      <w:divBdr>
                        <w:top w:val="none" w:sz="0" w:space="0" w:color="auto"/>
                        <w:left w:val="none" w:sz="0" w:space="0" w:color="auto"/>
                        <w:bottom w:val="none" w:sz="0" w:space="0" w:color="auto"/>
                        <w:right w:val="none" w:sz="0" w:space="0" w:color="auto"/>
                      </w:divBdr>
                      <w:divsChild>
                        <w:div w:id="952786958">
                          <w:marLeft w:val="0"/>
                          <w:marRight w:val="0"/>
                          <w:marTop w:val="0"/>
                          <w:marBottom w:val="0"/>
                          <w:divBdr>
                            <w:top w:val="none" w:sz="0" w:space="0" w:color="auto"/>
                            <w:left w:val="none" w:sz="0" w:space="0" w:color="auto"/>
                            <w:bottom w:val="none" w:sz="0" w:space="0" w:color="auto"/>
                            <w:right w:val="none" w:sz="0" w:space="0" w:color="auto"/>
                          </w:divBdr>
                          <w:divsChild>
                            <w:div w:id="1121074892">
                              <w:marLeft w:val="-240"/>
                              <w:marRight w:val="-120"/>
                              <w:marTop w:val="0"/>
                              <w:marBottom w:val="0"/>
                              <w:divBdr>
                                <w:top w:val="none" w:sz="0" w:space="0" w:color="auto"/>
                                <w:left w:val="none" w:sz="0" w:space="0" w:color="auto"/>
                                <w:bottom w:val="none" w:sz="0" w:space="0" w:color="auto"/>
                                <w:right w:val="none" w:sz="0" w:space="0" w:color="auto"/>
                              </w:divBdr>
                              <w:divsChild>
                                <w:div w:id="700932765">
                                  <w:marLeft w:val="0"/>
                                  <w:marRight w:val="0"/>
                                  <w:marTop w:val="0"/>
                                  <w:marBottom w:val="60"/>
                                  <w:divBdr>
                                    <w:top w:val="none" w:sz="0" w:space="0" w:color="auto"/>
                                    <w:left w:val="none" w:sz="0" w:space="0" w:color="auto"/>
                                    <w:bottom w:val="none" w:sz="0" w:space="0" w:color="auto"/>
                                    <w:right w:val="none" w:sz="0" w:space="0" w:color="auto"/>
                                  </w:divBdr>
                                  <w:divsChild>
                                    <w:div w:id="925066682">
                                      <w:marLeft w:val="0"/>
                                      <w:marRight w:val="0"/>
                                      <w:marTop w:val="0"/>
                                      <w:marBottom w:val="0"/>
                                      <w:divBdr>
                                        <w:top w:val="none" w:sz="0" w:space="0" w:color="auto"/>
                                        <w:left w:val="none" w:sz="0" w:space="0" w:color="auto"/>
                                        <w:bottom w:val="none" w:sz="0" w:space="0" w:color="auto"/>
                                        <w:right w:val="none" w:sz="0" w:space="0" w:color="auto"/>
                                      </w:divBdr>
                                      <w:divsChild>
                                        <w:div w:id="782069012">
                                          <w:marLeft w:val="0"/>
                                          <w:marRight w:val="0"/>
                                          <w:marTop w:val="0"/>
                                          <w:marBottom w:val="0"/>
                                          <w:divBdr>
                                            <w:top w:val="none" w:sz="0" w:space="0" w:color="auto"/>
                                            <w:left w:val="none" w:sz="0" w:space="0" w:color="auto"/>
                                            <w:bottom w:val="none" w:sz="0" w:space="0" w:color="auto"/>
                                            <w:right w:val="none" w:sz="0" w:space="0" w:color="auto"/>
                                          </w:divBdr>
                                          <w:divsChild>
                                            <w:div w:id="116071003">
                                              <w:marLeft w:val="0"/>
                                              <w:marRight w:val="0"/>
                                              <w:marTop w:val="0"/>
                                              <w:marBottom w:val="0"/>
                                              <w:divBdr>
                                                <w:top w:val="none" w:sz="0" w:space="0" w:color="auto"/>
                                                <w:left w:val="none" w:sz="0" w:space="0" w:color="auto"/>
                                                <w:bottom w:val="none" w:sz="0" w:space="0" w:color="auto"/>
                                                <w:right w:val="none" w:sz="0" w:space="0" w:color="auto"/>
                                              </w:divBdr>
                                              <w:divsChild>
                                                <w:div w:id="5566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7755277">
      <w:bodyDiv w:val="1"/>
      <w:marLeft w:val="0"/>
      <w:marRight w:val="0"/>
      <w:marTop w:val="0"/>
      <w:marBottom w:val="0"/>
      <w:divBdr>
        <w:top w:val="none" w:sz="0" w:space="0" w:color="auto"/>
        <w:left w:val="none" w:sz="0" w:space="0" w:color="auto"/>
        <w:bottom w:val="none" w:sz="0" w:space="0" w:color="auto"/>
        <w:right w:val="none" w:sz="0" w:space="0" w:color="auto"/>
      </w:divBdr>
    </w:div>
    <w:div w:id="1432165399">
      <w:bodyDiv w:val="1"/>
      <w:marLeft w:val="0"/>
      <w:marRight w:val="0"/>
      <w:marTop w:val="0"/>
      <w:marBottom w:val="0"/>
      <w:divBdr>
        <w:top w:val="none" w:sz="0" w:space="0" w:color="auto"/>
        <w:left w:val="none" w:sz="0" w:space="0" w:color="auto"/>
        <w:bottom w:val="none" w:sz="0" w:space="0" w:color="auto"/>
        <w:right w:val="none" w:sz="0" w:space="0" w:color="auto"/>
      </w:divBdr>
      <w:divsChild>
        <w:div w:id="314990581">
          <w:marLeft w:val="0"/>
          <w:marRight w:val="0"/>
          <w:marTop w:val="0"/>
          <w:marBottom w:val="0"/>
          <w:divBdr>
            <w:top w:val="none" w:sz="0" w:space="0" w:color="auto"/>
            <w:left w:val="none" w:sz="0" w:space="0" w:color="auto"/>
            <w:bottom w:val="none" w:sz="0" w:space="0" w:color="auto"/>
            <w:right w:val="none" w:sz="0" w:space="0" w:color="auto"/>
          </w:divBdr>
        </w:div>
        <w:div w:id="1087775899">
          <w:marLeft w:val="0"/>
          <w:marRight w:val="0"/>
          <w:marTop w:val="0"/>
          <w:marBottom w:val="0"/>
          <w:divBdr>
            <w:top w:val="none" w:sz="0" w:space="0" w:color="auto"/>
            <w:left w:val="none" w:sz="0" w:space="0" w:color="auto"/>
            <w:bottom w:val="none" w:sz="0" w:space="0" w:color="auto"/>
            <w:right w:val="none" w:sz="0" w:space="0" w:color="auto"/>
          </w:divBdr>
        </w:div>
        <w:div w:id="1631325632">
          <w:marLeft w:val="0"/>
          <w:marRight w:val="0"/>
          <w:marTop w:val="0"/>
          <w:marBottom w:val="0"/>
          <w:divBdr>
            <w:top w:val="none" w:sz="0" w:space="0" w:color="auto"/>
            <w:left w:val="none" w:sz="0" w:space="0" w:color="auto"/>
            <w:bottom w:val="none" w:sz="0" w:space="0" w:color="auto"/>
            <w:right w:val="none" w:sz="0" w:space="0" w:color="auto"/>
          </w:divBdr>
        </w:div>
        <w:div w:id="2125342870">
          <w:marLeft w:val="0"/>
          <w:marRight w:val="0"/>
          <w:marTop w:val="0"/>
          <w:marBottom w:val="0"/>
          <w:divBdr>
            <w:top w:val="none" w:sz="0" w:space="0" w:color="auto"/>
            <w:left w:val="none" w:sz="0" w:space="0" w:color="auto"/>
            <w:bottom w:val="none" w:sz="0" w:space="0" w:color="auto"/>
            <w:right w:val="none" w:sz="0" w:space="0" w:color="auto"/>
          </w:divBdr>
        </w:div>
      </w:divsChild>
    </w:div>
    <w:div w:id="1452090479">
      <w:bodyDiv w:val="1"/>
      <w:marLeft w:val="0"/>
      <w:marRight w:val="0"/>
      <w:marTop w:val="0"/>
      <w:marBottom w:val="0"/>
      <w:divBdr>
        <w:top w:val="none" w:sz="0" w:space="0" w:color="auto"/>
        <w:left w:val="none" w:sz="0" w:space="0" w:color="auto"/>
        <w:bottom w:val="none" w:sz="0" w:space="0" w:color="auto"/>
        <w:right w:val="none" w:sz="0" w:space="0" w:color="auto"/>
      </w:divBdr>
      <w:divsChild>
        <w:div w:id="124200848">
          <w:marLeft w:val="0"/>
          <w:marRight w:val="0"/>
          <w:marTop w:val="0"/>
          <w:marBottom w:val="0"/>
          <w:divBdr>
            <w:top w:val="none" w:sz="0" w:space="0" w:color="auto"/>
            <w:left w:val="none" w:sz="0" w:space="0" w:color="auto"/>
            <w:bottom w:val="none" w:sz="0" w:space="0" w:color="auto"/>
            <w:right w:val="none" w:sz="0" w:space="0" w:color="auto"/>
          </w:divBdr>
        </w:div>
        <w:div w:id="221602109">
          <w:marLeft w:val="0"/>
          <w:marRight w:val="0"/>
          <w:marTop w:val="0"/>
          <w:marBottom w:val="0"/>
          <w:divBdr>
            <w:top w:val="none" w:sz="0" w:space="0" w:color="auto"/>
            <w:left w:val="none" w:sz="0" w:space="0" w:color="auto"/>
            <w:bottom w:val="none" w:sz="0" w:space="0" w:color="auto"/>
            <w:right w:val="none" w:sz="0" w:space="0" w:color="auto"/>
          </w:divBdr>
        </w:div>
      </w:divsChild>
    </w:div>
    <w:div w:id="1477599845">
      <w:bodyDiv w:val="1"/>
      <w:marLeft w:val="0"/>
      <w:marRight w:val="0"/>
      <w:marTop w:val="0"/>
      <w:marBottom w:val="0"/>
      <w:divBdr>
        <w:top w:val="none" w:sz="0" w:space="0" w:color="auto"/>
        <w:left w:val="none" w:sz="0" w:space="0" w:color="auto"/>
        <w:bottom w:val="none" w:sz="0" w:space="0" w:color="auto"/>
        <w:right w:val="none" w:sz="0" w:space="0" w:color="auto"/>
      </w:divBdr>
      <w:divsChild>
        <w:div w:id="1701080334">
          <w:marLeft w:val="0"/>
          <w:marRight w:val="0"/>
          <w:marTop w:val="0"/>
          <w:marBottom w:val="0"/>
          <w:divBdr>
            <w:top w:val="none" w:sz="0" w:space="0" w:color="auto"/>
            <w:left w:val="none" w:sz="0" w:space="0" w:color="auto"/>
            <w:bottom w:val="none" w:sz="0" w:space="0" w:color="auto"/>
            <w:right w:val="none" w:sz="0" w:space="0" w:color="auto"/>
          </w:divBdr>
        </w:div>
      </w:divsChild>
    </w:div>
    <w:div w:id="1490058412">
      <w:bodyDiv w:val="1"/>
      <w:marLeft w:val="0"/>
      <w:marRight w:val="0"/>
      <w:marTop w:val="0"/>
      <w:marBottom w:val="0"/>
      <w:divBdr>
        <w:top w:val="none" w:sz="0" w:space="0" w:color="auto"/>
        <w:left w:val="none" w:sz="0" w:space="0" w:color="auto"/>
        <w:bottom w:val="none" w:sz="0" w:space="0" w:color="auto"/>
        <w:right w:val="none" w:sz="0" w:space="0" w:color="auto"/>
      </w:divBdr>
      <w:divsChild>
        <w:div w:id="1571580487">
          <w:marLeft w:val="0"/>
          <w:marRight w:val="0"/>
          <w:marTop w:val="0"/>
          <w:marBottom w:val="0"/>
          <w:divBdr>
            <w:top w:val="none" w:sz="0" w:space="0" w:color="auto"/>
            <w:left w:val="none" w:sz="0" w:space="0" w:color="auto"/>
            <w:bottom w:val="none" w:sz="0" w:space="0" w:color="auto"/>
            <w:right w:val="none" w:sz="0" w:space="0" w:color="auto"/>
          </w:divBdr>
          <w:divsChild>
            <w:div w:id="1412970896">
              <w:marLeft w:val="0"/>
              <w:marRight w:val="0"/>
              <w:marTop w:val="0"/>
              <w:marBottom w:val="0"/>
              <w:divBdr>
                <w:top w:val="none" w:sz="0" w:space="0" w:color="auto"/>
                <w:left w:val="none" w:sz="0" w:space="0" w:color="auto"/>
                <w:bottom w:val="none" w:sz="0" w:space="0" w:color="auto"/>
                <w:right w:val="none" w:sz="0" w:space="0" w:color="auto"/>
              </w:divBdr>
              <w:divsChild>
                <w:div w:id="1780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33339">
      <w:bodyDiv w:val="1"/>
      <w:marLeft w:val="0"/>
      <w:marRight w:val="0"/>
      <w:marTop w:val="0"/>
      <w:marBottom w:val="0"/>
      <w:divBdr>
        <w:top w:val="none" w:sz="0" w:space="0" w:color="auto"/>
        <w:left w:val="none" w:sz="0" w:space="0" w:color="auto"/>
        <w:bottom w:val="none" w:sz="0" w:space="0" w:color="auto"/>
        <w:right w:val="none" w:sz="0" w:space="0" w:color="auto"/>
      </w:divBdr>
    </w:div>
    <w:div w:id="1551380547">
      <w:bodyDiv w:val="1"/>
      <w:marLeft w:val="0"/>
      <w:marRight w:val="0"/>
      <w:marTop w:val="0"/>
      <w:marBottom w:val="0"/>
      <w:divBdr>
        <w:top w:val="none" w:sz="0" w:space="0" w:color="auto"/>
        <w:left w:val="none" w:sz="0" w:space="0" w:color="auto"/>
        <w:bottom w:val="none" w:sz="0" w:space="0" w:color="auto"/>
        <w:right w:val="none" w:sz="0" w:space="0" w:color="auto"/>
      </w:divBdr>
      <w:divsChild>
        <w:div w:id="730542339">
          <w:marLeft w:val="0"/>
          <w:marRight w:val="0"/>
          <w:marTop w:val="0"/>
          <w:marBottom w:val="0"/>
          <w:divBdr>
            <w:top w:val="none" w:sz="0" w:space="0" w:color="auto"/>
            <w:left w:val="none" w:sz="0" w:space="0" w:color="auto"/>
            <w:bottom w:val="none" w:sz="0" w:space="0" w:color="auto"/>
            <w:right w:val="none" w:sz="0" w:space="0" w:color="auto"/>
          </w:divBdr>
        </w:div>
        <w:div w:id="917908781">
          <w:marLeft w:val="0"/>
          <w:marRight w:val="0"/>
          <w:marTop w:val="0"/>
          <w:marBottom w:val="0"/>
          <w:divBdr>
            <w:top w:val="none" w:sz="0" w:space="0" w:color="auto"/>
            <w:left w:val="none" w:sz="0" w:space="0" w:color="auto"/>
            <w:bottom w:val="none" w:sz="0" w:space="0" w:color="auto"/>
            <w:right w:val="none" w:sz="0" w:space="0" w:color="auto"/>
          </w:divBdr>
        </w:div>
        <w:div w:id="1245265440">
          <w:marLeft w:val="0"/>
          <w:marRight w:val="0"/>
          <w:marTop w:val="0"/>
          <w:marBottom w:val="0"/>
          <w:divBdr>
            <w:top w:val="none" w:sz="0" w:space="0" w:color="auto"/>
            <w:left w:val="none" w:sz="0" w:space="0" w:color="auto"/>
            <w:bottom w:val="none" w:sz="0" w:space="0" w:color="auto"/>
            <w:right w:val="none" w:sz="0" w:space="0" w:color="auto"/>
          </w:divBdr>
        </w:div>
        <w:div w:id="1680506053">
          <w:marLeft w:val="0"/>
          <w:marRight w:val="0"/>
          <w:marTop w:val="0"/>
          <w:marBottom w:val="0"/>
          <w:divBdr>
            <w:top w:val="none" w:sz="0" w:space="0" w:color="auto"/>
            <w:left w:val="none" w:sz="0" w:space="0" w:color="auto"/>
            <w:bottom w:val="none" w:sz="0" w:space="0" w:color="auto"/>
            <w:right w:val="none" w:sz="0" w:space="0" w:color="auto"/>
          </w:divBdr>
        </w:div>
      </w:divsChild>
    </w:div>
    <w:div w:id="1642810436">
      <w:bodyDiv w:val="1"/>
      <w:marLeft w:val="0"/>
      <w:marRight w:val="0"/>
      <w:marTop w:val="0"/>
      <w:marBottom w:val="0"/>
      <w:divBdr>
        <w:top w:val="none" w:sz="0" w:space="0" w:color="auto"/>
        <w:left w:val="none" w:sz="0" w:space="0" w:color="auto"/>
        <w:bottom w:val="none" w:sz="0" w:space="0" w:color="auto"/>
        <w:right w:val="none" w:sz="0" w:space="0" w:color="auto"/>
      </w:divBdr>
    </w:div>
    <w:div w:id="1648781264">
      <w:bodyDiv w:val="1"/>
      <w:marLeft w:val="0"/>
      <w:marRight w:val="0"/>
      <w:marTop w:val="0"/>
      <w:marBottom w:val="0"/>
      <w:divBdr>
        <w:top w:val="none" w:sz="0" w:space="0" w:color="auto"/>
        <w:left w:val="none" w:sz="0" w:space="0" w:color="auto"/>
        <w:bottom w:val="none" w:sz="0" w:space="0" w:color="auto"/>
        <w:right w:val="none" w:sz="0" w:space="0" w:color="auto"/>
      </w:divBdr>
      <w:divsChild>
        <w:div w:id="643045684">
          <w:marLeft w:val="0"/>
          <w:marRight w:val="0"/>
          <w:marTop w:val="0"/>
          <w:marBottom w:val="0"/>
          <w:divBdr>
            <w:top w:val="none" w:sz="0" w:space="0" w:color="auto"/>
            <w:left w:val="none" w:sz="0" w:space="0" w:color="auto"/>
            <w:bottom w:val="none" w:sz="0" w:space="0" w:color="auto"/>
            <w:right w:val="none" w:sz="0" w:space="0" w:color="auto"/>
          </w:divBdr>
        </w:div>
      </w:divsChild>
    </w:div>
    <w:div w:id="1666740555">
      <w:bodyDiv w:val="1"/>
      <w:marLeft w:val="0"/>
      <w:marRight w:val="0"/>
      <w:marTop w:val="0"/>
      <w:marBottom w:val="0"/>
      <w:divBdr>
        <w:top w:val="none" w:sz="0" w:space="0" w:color="auto"/>
        <w:left w:val="none" w:sz="0" w:space="0" w:color="auto"/>
        <w:bottom w:val="none" w:sz="0" w:space="0" w:color="auto"/>
        <w:right w:val="none" w:sz="0" w:space="0" w:color="auto"/>
      </w:divBdr>
      <w:divsChild>
        <w:div w:id="261960930">
          <w:marLeft w:val="0"/>
          <w:marRight w:val="0"/>
          <w:marTop w:val="0"/>
          <w:marBottom w:val="0"/>
          <w:divBdr>
            <w:top w:val="none" w:sz="0" w:space="0" w:color="auto"/>
            <w:left w:val="none" w:sz="0" w:space="0" w:color="auto"/>
            <w:bottom w:val="none" w:sz="0" w:space="0" w:color="auto"/>
            <w:right w:val="none" w:sz="0" w:space="0" w:color="auto"/>
          </w:divBdr>
        </w:div>
      </w:divsChild>
    </w:div>
    <w:div w:id="1732541277">
      <w:bodyDiv w:val="1"/>
      <w:marLeft w:val="0"/>
      <w:marRight w:val="0"/>
      <w:marTop w:val="0"/>
      <w:marBottom w:val="0"/>
      <w:divBdr>
        <w:top w:val="none" w:sz="0" w:space="0" w:color="auto"/>
        <w:left w:val="none" w:sz="0" w:space="0" w:color="auto"/>
        <w:bottom w:val="none" w:sz="0" w:space="0" w:color="auto"/>
        <w:right w:val="none" w:sz="0" w:space="0" w:color="auto"/>
      </w:divBdr>
      <w:divsChild>
        <w:div w:id="120272926">
          <w:marLeft w:val="0"/>
          <w:marRight w:val="0"/>
          <w:marTop w:val="0"/>
          <w:marBottom w:val="0"/>
          <w:divBdr>
            <w:top w:val="none" w:sz="0" w:space="0" w:color="auto"/>
            <w:left w:val="none" w:sz="0" w:space="0" w:color="auto"/>
            <w:bottom w:val="none" w:sz="0" w:space="0" w:color="auto"/>
            <w:right w:val="none" w:sz="0" w:space="0" w:color="auto"/>
          </w:divBdr>
        </w:div>
        <w:div w:id="415590034">
          <w:marLeft w:val="0"/>
          <w:marRight w:val="0"/>
          <w:marTop w:val="0"/>
          <w:marBottom w:val="0"/>
          <w:divBdr>
            <w:top w:val="none" w:sz="0" w:space="0" w:color="auto"/>
            <w:left w:val="none" w:sz="0" w:space="0" w:color="auto"/>
            <w:bottom w:val="none" w:sz="0" w:space="0" w:color="auto"/>
            <w:right w:val="none" w:sz="0" w:space="0" w:color="auto"/>
          </w:divBdr>
        </w:div>
        <w:div w:id="756441092">
          <w:marLeft w:val="0"/>
          <w:marRight w:val="0"/>
          <w:marTop w:val="0"/>
          <w:marBottom w:val="0"/>
          <w:divBdr>
            <w:top w:val="none" w:sz="0" w:space="0" w:color="auto"/>
            <w:left w:val="none" w:sz="0" w:space="0" w:color="auto"/>
            <w:bottom w:val="none" w:sz="0" w:space="0" w:color="auto"/>
            <w:right w:val="none" w:sz="0" w:space="0" w:color="auto"/>
          </w:divBdr>
        </w:div>
        <w:div w:id="764886727">
          <w:marLeft w:val="0"/>
          <w:marRight w:val="0"/>
          <w:marTop w:val="0"/>
          <w:marBottom w:val="0"/>
          <w:divBdr>
            <w:top w:val="none" w:sz="0" w:space="0" w:color="auto"/>
            <w:left w:val="none" w:sz="0" w:space="0" w:color="auto"/>
            <w:bottom w:val="none" w:sz="0" w:space="0" w:color="auto"/>
            <w:right w:val="none" w:sz="0" w:space="0" w:color="auto"/>
          </w:divBdr>
        </w:div>
        <w:div w:id="1254825775">
          <w:marLeft w:val="0"/>
          <w:marRight w:val="0"/>
          <w:marTop w:val="0"/>
          <w:marBottom w:val="0"/>
          <w:divBdr>
            <w:top w:val="none" w:sz="0" w:space="0" w:color="auto"/>
            <w:left w:val="none" w:sz="0" w:space="0" w:color="auto"/>
            <w:bottom w:val="none" w:sz="0" w:space="0" w:color="auto"/>
            <w:right w:val="none" w:sz="0" w:space="0" w:color="auto"/>
          </w:divBdr>
        </w:div>
        <w:div w:id="1783916318">
          <w:marLeft w:val="0"/>
          <w:marRight w:val="0"/>
          <w:marTop w:val="0"/>
          <w:marBottom w:val="0"/>
          <w:divBdr>
            <w:top w:val="none" w:sz="0" w:space="0" w:color="auto"/>
            <w:left w:val="none" w:sz="0" w:space="0" w:color="auto"/>
            <w:bottom w:val="none" w:sz="0" w:space="0" w:color="auto"/>
            <w:right w:val="none" w:sz="0" w:space="0" w:color="auto"/>
          </w:divBdr>
        </w:div>
      </w:divsChild>
    </w:div>
    <w:div w:id="1746486129">
      <w:bodyDiv w:val="1"/>
      <w:marLeft w:val="0"/>
      <w:marRight w:val="0"/>
      <w:marTop w:val="0"/>
      <w:marBottom w:val="0"/>
      <w:divBdr>
        <w:top w:val="none" w:sz="0" w:space="0" w:color="auto"/>
        <w:left w:val="none" w:sz="0" w:space="0" w:color="auto"/>
        <w:bottom w:val="none" w:sz="0" w:space="0" w:color="auto"/>
        <w:right w:val="none" w:sz="0" w:space="0" w:color="auto"/>
      </w:divBdr>
    </w:div>
    <w:div w:id="1840391103">
      <w:bodyDiv w:val="1"/>
      <w:marLeft w:val="0"/>
      <w:marRight w:val="0"/>
      <w:marTop w:val="0"/>
      <w:marBottom w:val="0"/>
      <w:divBdr>
        <w:top w:val="none" w:sz="0" w:space="0" w:color="auto"/>
        <w:left w:val="none" w:sz="0" w:space="0" w:color="auto"/>
        <w:bottom w:val="none" w:sz="0" w:space="0" w:color="auto"/>
        <w:right w:val="none" w:sz="0" w:space="0" w:color="auto"/>
      </w:divBdr>
    </w:div>
    <w:div w:id="1914122299">
      <w:bodyDiv w:val="1"/>
      <w:marLeft w:val="0"/>
      <w:marRight w:val="0"/>
      <w:marTop w:val="0"/>
      <w:marBottom w:val="0"/>
      <w:divBdr>
        <w:top w:val="none" w:sz="0" w:space="0" w:color="auto"/>
        <w:left w:val="none" w:sz="0" w:space="0" w:color="auto"/>
        <w:bottom w:val="none" w:sz="0" w:space="0" w:color="auto"/>
        <w:right w:val="none" w:sz="0" w:space="0" w:color="auto"/>
      </w:divBdr>
      <w:divsChild>
        <w:div w:id="34085412">
          <w:marLeft w:val="0"/>
          <w:marRight w:val="0"/>
          <w:marTop w:val="0"/>
          <w:marBottom w:val="0"/>
          <w:divBdr>
            <w:top w:val="none" w:sz="0" w:space="0" w:color="auto"/>
            <w:left w:val="none" w:sz="0" w:space="0" w:color="auto"/>
            <w:bottom w:val="none" w:sz="0" w:space="0" w:color="auto"/>
            <w:right w:val="none" w:sz="0" w:space="0" w:color="auto"/>
          </w:divBdr>
          <w:divsChild>
            <w:div w:id="1826819296">
              <w:marLeft w:val="0"/>
              <w:marRight w:val="0"/>
              <w:marTop w:val="0"/>
              <w:marBottom w:val="0"/>
              <w:divBdr>
                <w:top w:val="none" w:sz="0" w:space="0" w:color="auto"/>
                <w:left w:val="none" w:sz="0" w:space="0" w:color="auto"/>
                <w:bottom w:val="none" w:sz="0" w:space="0" w:color="auto"/>
                <w:right w:val="none" w:sz="0" w:space="0" w:color="auto"/>
              </w:divBdr>
              <w:divsChild>
                <w:div w:id="11973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27322">
      <w:bodyDiv w:val="1"/>
      <w:marLeft w:val="0"/>
      <w:marRight w:val="0"/>
      <w:marTop w:val="0"/>
      <w:marBottom w:val="0"/>
      <w:divBdr>
        <w:top w:val="none" w:sz="0" w:space="0" w:color="auto"/>
        <w:left w:val="none" w:sz="0" w:space="0" w:color="auto"/>
        <w:bottom w:val="none" w:sz="0" w:space="0" w:color="auto"/>
        <w:right w:val="none" w:sz="0" w:space="0" w:color="auto"/>
      </w:divBdr>
      <w:divsChild>
        <w:div w:id="201744648">
          <w:marLeft w:val="0"/>
          <w:marRight w:val="0"/>
          <w:marTop w:val="0"/>
          <w:marBottom w:val="0"/>
          <w:divBdr>
            <w:top w:val="none" w:sz="0" w:space="0" w:color="auto"/>
            <w:left w:val="none" w:sz="0" w:space="0" w:color="auto"/>
            <w:bottom w:val="none" w:sz="0" w:space="0" w:color="auto"/>
            <w:right w:val="none" w:sz="0" w:space="0" w:color="auto"/>
          </w:divBdr>
        </w:div>
        <w:div w:id="369033219">
          <w:marLeft w:val="0"/>
          <w:marRight w:val="0"/>
          <w:marTop w:val="0"/>
          <w:marBottom w:val="0"/>
          <w:divBdr>
            <w:top w:val="none" w:sz="0" w:space="0" w:color="auto"/>
            <w:left w:val="none" w:sz="0" w:space="0" w:color="auto"/>
            <w:bottom w:val="none" w:sz="0" w:space="0" w:color="auto"/>
            <w:right w:val="none" w:sz="0" w:space="0" w:color="auto"/>
          </w:divBdr>
        </w:div>
        <w:div w:id="433132113">
          <w:marLeft w:val="0"/>
          <w:marRight w:val="0"/>
          <w:marTop w:val="0"/>
          <w:marBottom w:val="0"/>
          <w:divBdr>
            <w:top w:val="none" w:sz="0" w:space="0" w:color="auto"/>
            <w:left w:val="none" w:sz="0" w:space="0" w:color="auto"/>
            <w:bottom w:val="none" w:sz="0" w:space="0" w:color="auto"/>
            <w:right w:val="none" w:sz="0" w:space="0" w:color="auto"/>
          </w:divBdr>
        </w:div>
        <w:div w:id="670068540">
          <w:marLeft w:val="0"/>
          <w:marRight w:val="0"/>
          <w:marTop w:val="0"/>
          <w:marBottom w:val="0"/>
          <w:divBdr>
            <w:top w:val="none" w:sz="0" w:space="0" w:color="auto"/>
            <w:left w:val="none" w:sz="0" w:space="0" w:color="auto"/>
            <w:bottom w:val="none" w:sz="0" w:space="0" w:color="auto"/>
            <w:right w:val="none" w:sz="0" w:space="0" w:color="auto"/>
          </w:divBdr>
        </w:div>
        <w:div w:id="695694275">
          <w:marLeft w:val="0"/>
          <w:marRight w:val="0"/>
          <w:marTop w:val="0"/>
          <w:marBottom w:val="0"/>
          <w:divBdr>
            <w:top w:val="none" w:sz="0" w:space="0" w:color="auto"/>
            <w:left w:val="none" w:sz="0" w:space="0" w:color="auto"/>
            <w:bottom w:val="none" w:sz="0" w:space="0" w:color="auto"/>
            <w:right w:val="none" w:sz="0" w:space="0" w:color="auto"/>
          </w:divBdr>
        </w:div>
        <w:div w:id="824711331">
          <w:marLeft w:val="0"/>
          <w:marRight w:val="0"/>
          <w:marTop w:val="0"/>
          <w:marBottom w:val="0"/>
          <w:divBdr>
            <w:top w:val="none" w:sz="0" w:space="0" w:color="auto"/>
            <w:left w:val="none" w:sz="0" w:space="0" w:color="auto"/>
            <w:bottom w:val="none" w:sz="0" w:space="0" w:color="auto"/>
            <w:right w:val="none" w:sz="0" w:space="0" w:color="auto"/>
          </w:divBdr>
        </w:div>
        <w:div w:id="881210878">
          <w:marLeft w:val="0"/>
          <w:marRight w:val="0"/>
          <w:marTop w:val="0"/>
          <w:marBottom w:val="0"/>
          <w:divBdr>
            <w:top w:val="none" w:sz="0" w:space="0" w:color="auto"/>
            <w:left w:val="none" w:sz="0" w:space="0" w:color="auto"/>
            <w:bottom w:val="none" w:sz="0" w:space="0" w:color="auto"/>
            <w:right w:val="none" w:sz="0" w:space="0" w:color="auto"/>
          </w:divBdr>
        </w:div>
        <w:div w:id="1553737131">
          <w:marLeft w:val="0"/>
          <w:marRight w:val="0"/>
          <w:marTop w:val="0"/>
          <w:marBottom w:val="0"/>
          <w:divBdr>
            <w:top w:val="none" w:sz="0" w:space="0" w:color="auto"/>
            <w:left w:val="none" w:sz="0" w:space="0" w:color="auto"/>
            <w:bottom w:val="none" w:sz="0" w:space="0" w:color="auto"/>
            <w:right w:val="none" w:sz="0" w:space="0" w:color="auto"/>
          </w:divBdr>
        </w:div>
        <w:div w:id="1801217247">
          <w:marLeft w:val="0"/>
          <w:marRight w:val="0"/>
          <w:marTop w:val="0"/>
          <w:marBottom w:val="0"/>
          <w:divBdr>
            <w:top w:val="none" w:sz="0" w:space="0" w:color="auto"/>
            <w:left w:val="none" w:sz="0" w:space="0" w:color="auto"/>
            <w:bottom w:val="none" w:sz="0" w:space="0" w:color="auto"/>
            <w:right w:val="none" w:sz="0" w:space="0" w:color="auto"/>
          </w:divBdr>
        </w:div>
        <w:div w:id="2002467684">
          <w:marLeft w:val="0"/>
          <w:marRight w:val="0"/>
          <w:marTop w:val="0"/>
          <w:marBottom w:val="0"/>
          <w:divBdr>
            <w:top w:val="none" w:sz="0" w:space="0" w:color="auto"/>
            <w:left w:val="none" w:sz="0" w:space="0" w:color="auto"/>
            <w:bottom w:val="none" w:sz="0" w:space="0" w:color="auto"/>
            <w:right w:val="none" w:sz="0" w:space="0" w:color="auto"/>
          </w:divBdr>
        </w:div>
        <w:div w:id="2036731638">
          <w:marLeft w:val="0"/>
          <w:marRight w:val="0"/>
          <w:marTop w:val="0"/>
          <w:marBottom w:val="0"/>
          <w:divBdr>
            <w:top w:val="none" w:sz="0" w:space="0" w:color="auto"/>
            <w:left w:val="none" w:sz="0" w:space="0" w:color="auto"/>
            <w:bottom w:val="none" w:sz="0" w:space="0" w:color="auto"/>
            <w:right w:val="none" w:sz="0" w:space="0" w:color="auto"/>
          </w:divBdr>
        </w:div>
        <w:div w:id="2052654804">
          <w:marLeft w:val="0"/>
          <w:marRight w:val="0"/>
          <w:marTop w:val="0"/>
          <w:marBottom w:val="0"/>
          <w:divBdr>
            <w:top w:val="none" w:sz="0" w:space="0" w:color="auto"/>
            <w:left w:val="none" w:sz="0" w:space="0" w:color="auto"/>
            <w:bottom w:val="none" w:sz="0" w:space="0" w:color="auto"/>
            <w:right w:val="none" w:sz="0" w:space="0" w:color="auto"/>
          </w:divBdr>
        </w:div>
      </w:divsChild>
    </w:div>
    <w:div w:id="2027444794">
      <w:bodyDiv w:val="1"/>
      <w:marLeft w:val="0"/>
      <w:marRight w:val="0"/>
      <w:marTop w:val="0"/>
      <w:marBottom w:val="0"/>
      <w:divBdr>
        <w:top w:val="none" w:sz="0" w:space="0" w:color="auto"/>
        <w:left w:val="none" w:sz="0" w:space="0" w:color="auto"/>
        <w:bottom w:val="none" w:sz="0" w:space="0" w:color="auto"/>
        <w:right w:val="none" w:sz="0" w:space="0" w:color="auto"/>
      </w:divBdr>
    </w:div>
    <w:div w:id="2054767090">
      <w:bodyDiv w:val="1"/>
      <w:marLeft w:val="0"/>
      <w:marRight w:val="0"/>
      <w:marTop w:val="0"/>
      <w:marBottom w:val="0"/>
      <w:divBdr>
        <w:top w:val="none" w:sz="0" w:space="0" w:color="auto"/>
        <w:left w:val="none" w:sz="0" w:space="0" w:color="auto"/>
        <w:bottom w:val="none" w:sz="0" w:space="0" w:color="auto"/>
        <w:right w:val="none" w:sz="0" w:space="0" w:color="auto"/>
      </w:divBdr>
    </w:div>
    <w:div w:id="2077896011">
      <w:bodyDiv w:val="1"/>
      <w:marLeft w:val="0"/>
      <w:marRight w:val="0"/>
      <w:marTop w:val="0"/>
      <w:marBottom w:val="0"/>
      <w:divBdr>
        <w:top w:val="none" w:sz="0" w:space="0" w:color="auto"/>
        <w:left w:val="none" w:sz="0" w:space="0" w:color="auto"/>
        <w:bottom w:val="none" w:sz="0" w:space="0" w:color="auto"/>
        <w:right w:val="none" w:sz="0" w:space="0" w:color="auto"/>
      </w:divBdr>
      <w:divsChild>
        <w:div w:id="1284075918">
          <w:marLeft w:val="0"/>
          <w:marRight w:val="0"/>
          <w:marTop w:val="0"/>
          <w:marBottom w:val="0"/>
          <w:divBdr>
            <w:top w:val="none" w:sz="0" w:space="0" w:color="auto"/>
            <w:left w:val="none" w:sz="0" w:space="0" w:color="auto"/>
            <w:bottom w:val="none" w:sz="0" w:space="0" w:color="auto"/>
            <w:right w:val="none" w:sz="0" w:space="0" w:color="auto"/>
          </w:divBdr>
          <w:divsChild>
            <w:div w:id="2130201931">
              <w:marLeft w:val="0"/>
              <w:marRight w:val="0"/>
              <w:marTop w:val="0"/>
              <w:marBottom w:val="0"/>
              <w:divBdr>
                <w:top w:val="none" w:sz="0" w:space="0" w:color="auto"/>
                <w:left w:val="none" w:sz="0" w:space="0" w:color="auto"/>
                <w:bottom w:val="none" w:sz="0" w:space="0" w:color="auto"/>
                <w:right w:val="none" w:sz="0" w:space="0" w:color="auto"/>
              </w:divBdr>
              <w:divsChild>
                <w:div w:id="2559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97002">
      <w:bodyDiv w:val="1"/>
      <w:marLeft w:val="0"/>
      <w:marRight w:val="0"/>
      <w:marTop w:val="0"/>
      <w:marBottom w:val="0"/>
      <w:divBdr>
        <w:top w:val="none" w:sz="0" w:space="0" w:color="auto"/>
        <w:left w:val="none" w:sz="0" w:space="0" w:color="auto"/>
        <w:bottom w:val="none" w:sz="0" w:space="0" w:color="auto"/>
        <w:right w:val="none" w:sz="0" w:space="0" w:color="auto"/>
      </w:divBdr>
    </w:div>
    <w:div w:id="2108184385">
      <w:bodyDiv w:val="1"/>
      <w:marLeft w:val="0"/>
      <w:marRight w:val="0"/>
      <w:marTop w:val="0"/>
      <w:marBottom w:val="0"/>
      <w:divBdr>
        <w:top w:val="none" w:sz="0" w:space="0" w:color="auto"/>
        <w:left w:val="none" w:sz="0" w:space="0" w:color="auto"/>
        <w:bottom w:val="none" w:sz="0" w:space="0" w:color="auto"/>
        <w:right w:val="none" w:sz="0" w:space="0" w:color="auto"/>
      </w:divBdr>
    </w:div>
    <w:div w:id="2108378115">
      <w:bodyDiv w:val="1"/>
      <w:marLeft w:val="0"/>
      <w:marRight w:val="0"/>
      <w:marTop w:val="0"/>
      <w:marBottom w:val="0"/>
      <w:divBdr>
        <w:top w:val="none" w:sz="0" w:space="0" w:color="auto"/>
        <w:left w:val="none" w:sz="0" w:space="0" w:color="auto"/>
        <w:bottom w:val="none" w:sz="0" w:space="0" w:color="auto"/>
        <w:right w:val="none" w:sz="0" w:space="0" w:color="auto"/>
      </w:divBdr>
      <w:divsChild>
        <w:div w:id="2051419172">
          <w:marLeft w:val="0"/>
          <w:marRight w:val="0"/>
          <w:marTop w:val="0"/>
          <w:marBottom w:val="0"/>
          <w:divBdr>
            <w:top w:val="none" w:sz="0" w:space="0" w:color="auto"/>
            <w:left w:val="none" w:sz="0" w:space="0" w:color="auto"/>
            <w:bottom w:val="none" w:sz="0" w:space="0" w:color="auto"/>
            <w:right w:val="none" w:sz="0" w:space="0" w:color="auto"/>
          </w:divBdr>
        </w:div>
      </w:divsChild>
    </w:div>
    <w:div w:id="2140146702">
      <w:bodyDiv w:val="1"/>
      <w:marLeft w:val="0"/>
      <w:marRight w:val="0"/>
      <w:marTop w:val="0"/>
      <w:marBottom w:val="0"/>
      <w:divBdr>
        <w:top w:val="none" w:sz="0" w:space="0" w:color="auto"/>
        <w:left w:val="none" w:sz="0" w:space="0" w:color="auto"/>
        <w:bottom w:val="none" w:sz="0" w:space="0" w:color="auto"/>
        <w:right w:val="none" w:sz="0" w:space="0" w:color="auto"/>
      </w:divBdr>
      <w:divsChild>
        <w:div w:id="1823889037">
          <w:marLeft w:val="0"/>
          <w:marRight w:val="0"/>
          <w:marTop w:val="0"/>
          <w:marBottom w:val="0"/>
          <w:divBdr>
            <w:top w:val="none" w:sz="0" w:space="0" w:color="auto"/>
            <w:left w:val="none" w:sz="0" w:space="0" w:color="auto"/>
            <w:bottom w:val="none" w:sz="0" w:space="0" w:color="auto"/>
            <w:right w:val="none" w:sz="0" w:space="0" w:color="auto"/>
          </w:divBdr>
          <w:divsChild>
            <w:div w:id="562065292">
              <w:marLeft w:val="0"/>
              <w:marRight w:val="0"/>
              <w:marTop w:val="0"/>
              <w:marBottom w:val="0"/>
              <w:divBdr>
                <w:top w:val="none" w:sz="0" w:space="0" w:color="auto"/>
                <w:left w:val="none" w:sz="0" w:space="0" w:color="auto"/>
                <w:bottom w:val="none" w:sz="0" w:space="0" w:color="auto"/>
                <w:right w:val="none" w:sz="0" w:space="0" w:color="auto"/>
              </w:divBdr>
              <w:divsChild>
                <w:div w:id="16822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92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bertyhomes.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_rels/footnotes.xml.rels><?xml version="1.0" encoding="UTF-8" standalone="yes"?>
<Relationships xmlns="http://schemas.openxmlformats.org/package/2006/relationships"><Relationship Id="rId8" Type="http://schemas.openxmlformats.org/officeDocument/2006/relationships/hyperlink" Target="https://efiling.energy.ca.gov/getdocument.aspx?tn=214830" TargetMode="External"/><Relationship Id="rId13" Type="http://schemas.openxmlformats.org/officeDocument/2006/relationships/hyperlink" Target="https://www.eeivt.com/updated-pays-essential-elements-and-minimum-program-requirements-effective-december-31-2020/" TargetMode="External"/><Relationship Id="rId18" Type="http://schemas.openxmlformats.org/officeDocument/2006/relationships/hyperlink" Target="https://www.law.berkeley.edu/wp-content/uploads/2019/06/Low-Income-High-Efficiency-June-2019.pdf" TargetMode="External"/><Relationship Id="rId26" Type="http://schemas.openxmlformats.org/officeDocument/2006/relationships/hyperlink" Target="http://docs.cpuc.ca.gov/PublishedDocs/Published/G000/M330/K031/330031291.PDF" TargetMode="External"/><Relationship Id="rId3" Type="http://schemas.openxmlformats.org/officeDocument/2006/relationships/hyperlink" Target="https://docs.cpuc.ca.gov/SearchRes.aspx?DocFormat=ALL&amp;DocID=424114102" TargetMode="External"/><Relationship Id="rId21" Type="http://schemas.openxmlformats.org/officeDocument/2006/relationships/hyperlink" Target="https://www.cpuc.ca.gov/-/media/cpuc-website/divisions/office-of-governmental-affairs-division/reports/2021/senate-bill-695-report-2021-and-en-banc-whitepaper_final_04302021.pdf" TargetMode="External"/><Relationship Id="rId7" Type="http://schemas.openxmlformats.org/officeDocument/2006/relationships/hyperlink" Target="http://www.metropolitanhousing.org/wp-content/uploads/member_docs/2008_State_of_Metropolitan_Housing_Report.pdf" TargetMode="External"/><Relationship Id="rId12" Type="http://schemas.openxmlformats.org/officeDocument/2006/relationships/hyperlink" Target="https://oehha.ca.gov/calenviroscreen/sb535" TargetMode="External"/><Relationship Id="rId17" Type="http://schemas.openxmlformats.org/officeDocument/2006/relationships/hyperlink" Target="https://www.seealliance.org/wp-content/uploads/SEEA_TOBGuide_FINAL_UPDATED_2020_04_13.pdf" TargetMode="External"/><Relationship Id="rId25" Type="http://schemas.openxmlformats.org/officeDocument/2006/relationships/hyperlink" Target="https://www.ethree.com/wp-content/uploads/2022/01/CPUC-SCT-Report-FINAL.pdf" TargetMode="External"/><Relationship Id="rId2" Type="http://schemas.openxmlformats.org/officeDocument/2006/relationships/hyperlink" Target="https://docs.cpuc.ca.gov/SearchRes.aspx?DocFormat=ALL&amp;DocID=424114102" TargetMode="External"/><Relationship Id="rId16" Type="http://schemas.openxmlformats.org/officeDocument/2006/relationships/hyperlink" Target="https://www.libertyhomes.org/post/6-25-21-policy-precedents-for-pay-as-you-save-and-inclusive-utility-investment" TargetMode="External"/><Relationship Id="rId20" Type="http://schemas.openxmlformats.org/officeDocument/2006/relationships/hyperlink" Target="https://www.buildingdecarb.org/uploads/3/0/7/3/30734489/bdc_whitepaper_final_small.pdf" TargetMode="External"/><Relationship Id="rId1" Type="http://schemas.openxmlformats.org/officeDocument/2006/relationships/hyperlink" Target="https://apps.cpuc.ca.gov/apex/f?p=401:56:0::NO:RP,57,RIR:P5_PROCEEDING_SELECT:R2008022" TargetMode="External"/><Relationship Id="rId6" Type="http://schemas.openxmlformats.org/officeDocument/2006/relationships/hyperlink" Target="http://policylinkcontent.s3.amazonaws.com/ComplexPortraitExaminationOfSmallDollarCreditConsumers_CFSI_0.pdf" TargetMode="External"/><Relationship Id="rId11" Type="http://schemas.openxmlformats.org/officeDocument/2006/relationships/hyperlink" Target="https://www.caeecc.org/equity-metrics-working-group-meeting" TargetMode="External"/><Relationship Id="rId24" Type="http://schemas.openxmlformats.org/officeDocument/2006/relationships/hyperlink" Target="https://ibank.ca.gov/climate-financing/climate-catalyst-program/" TargetMode="External"/><Relationship Id="rId5" Type="http://schemas.openxmlformats.org/officeDocument/2006/relationships/hyperlink" Target="http://www.turn.org/wp-content/uploads/2018/05/2018_TURN_Shut-Off-Report_FINAL.pdf" TargetMode="External"/><Relationship Id="rId15" Type="http://schemas.openxmlformats.org/officeDocument/2006/relationships/hyperlink" Target="https://www.aceee.org/files/proceedings/2020/event-data/pdf/catalyst_activity_10638/catalyst_activity_paper_20200812131023120_f3ae9c74_21aa_4f2d_ab9b_e70982627d24" TargetMode="External"/><Relationship Id="rId23" Type="http://schemas.openxmlformats.org/officeDocument/2006/relationships/hyperlink" Target="https://www.energy.gov/lpo/renewable-energy-efficient-energy-projects-loan-guarantees" TargetMode="External"/><Relationship Id="rId10" Type="http://schemas.openxmlformats.org/officeDocument/2006/relationships/hyperlink" Target="https://cwdb.ca.gov/wp-content/uploads/sites/43/2020/08/OneSheet_HRTP_ACCESSIBLE.pdf" TargetMode="External"/><Relationship Id="rId19" Type="http://schemas.openxmlformats.org/officeDocument/2006/relationships/hyperlink" Target="https://www.energy.ca.gov/filebrowser/download/1900" TargetMode="External"/><Relationship Id="rId4" Type="http://schemas.openxmlformats.org/officeDocument/2006/relationships/hyperlink" Target="http://www.calmac.org" TargetMode="External"/><Relationship Id="rId9" Type="http://schemas.openxmlformats.org/officeDocument/2006/relationships/hyperlink" Target="https://assets.ctfassets.net/ntcn17ss1ow9/4bcrgrRiiymPoVKoMDCqPz/8568c1dd9eec6545c901c3b035a77832/Greenlining_EquitableElectrification_Report_2019_WEB.pdf" TargetMode="External"/><Relationship Id="rId14" Type="http://schemas.openxmlformats.org/officeDocument/2006/relationships/hyperlink" Target="http://www.eeivt.com/wp-content/uploads/2021/12/2021-PAYS-Status-Update_12.30.21rev.pdf" TargetMode="External"/><Relationship Id="rId22" Type="http://schemas.openxmlformats.org/officeDocument/2006/relationships/hyperlink" Target="https://www.rd.usda.gov/programs-services/electric-programs/energy-efficiency-and-conservation-loan-progra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orris1\Documents\Custom%20Office%20Templates\TECH%20Word%20template.dotx" TargetMode="External"/></Relationships>
</file>

<file path=word/theme/theme1.xml><?xml version="1.0" encoding="utf-8"?>
<a:theme xmlns:a="http://schemas.openxmlformats.org/drawingml/2006/main" name="TECH theme">
  <a:themeElements>
    <a:clrScheme name="TECH 1">
      <a:dk1>
        <a:srgbClr val="282828"/>
      </a:dk1>
      <a:lt1>
        <a:srgbClr val="FFFFFF"/>
      </a:lt1>
      <a:dk2>
        <a:srgbClr val="20546B"/>
      </a:dk2>
      <a:lt2>
        <a:srgbClr val="EDEEEF"/>
      </a:lt2>
      <a:accent1>
        <a:srgbClr val="0AC3EF"/>
      </a:accent1>
      <a:accent2>
        <a:srgbClr val="8DC63F"/>
      </a:accent2>
      <a:accent3>
        <a:srgbClr val="FF9248"/>
      </a:accent3>
      <a:accent4>
        <a:srgbClr val="44D3C8"/>
      </a:accent4>
      <a:accent5>
        <a:srgbClr val="DDFF80"/>
      </a:accent5>
      <a:accent6>
        <a:srgbClr val="EABD00"/>
      </a:accent6>
      <a:hlink>
        <a:srgbClr val="20546B"/>
      </a:hlink>
      <a:folHlink>
        <a:srgbClr val="7F7F7F"/>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A SW Foodservice" id="{643C3C06-87A9-BB41-A96A-FC9CD74A0ED0}" vid="{BD54EF0A-B050-0640-AB1D-AEDF7AA7DE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AD484B6EF52C4C90C445ED1DB42FE4" ma:contentTypeVersion="6" ma:contentTypeDescription="Create a new document." ma:contentTypeScope="" ma:versionID="ab2ae53d170a71ccb3337fe03c51cb71">
  <xsd:schema xmlns:xsd="http://www.w3.org/2001/XMLSchema" xmlns:xs="http://www.w3.org/2001/XMLSchema" xmlns:p="http://schemas.microsoft.com/office/2006/metadata/properties" xmlns:ns2="6069f2a5-6e32-49c1-af70-edaffcec0c4f" targetNamespace="http://schemas.microsoft.com/office/2006/metadata/properties" ma:root="true" ma:fieldsID="ee72ba44146e1f2788461264da416f1e" ns2:_="">
    <xsd:import namespace="6069f2a5-6e32-49c1-af70-edaffcec0c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9f2a5-6e32-49c1-af70-edaffcec0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5E1A15-970C-43A8-AA7D-C2F622E6D561}"/>
</file>

<file path=customXml/itemProps2.xml><?xml version="1.0" encoding="utf-8"?>
<ds:datastoreItem xmlns:ds="http://schemas.openxmlformats.org/officeDocument/2006/customXml" ds:itemID="{510D8D40-9236-5D4E-90B9-168579C93D52}">
  <ds:schemaRefs>
    <ds:schemaRef ds:uri="http://schemas.openxmlformats.org/officeDocument/2006/bibliography"/>
  </ds:schemaRefs>
</ds:datastoreItem>
</file>

<file path=customXml/itemProps3.xml><?xml version="1.0" encoding="utf-8"?>
<ds:datastoreItem xmlns:ds="http://schemas.openxmlformats.org/officeDocument/2006/customXml" ds:itemID="{253BB3D2-ED9F-4F15-B35E-6D656043E1A0}">
  <ds:schemaRefs>
    <ds:schemaRef ds:uri="http://schemas.microsoft.com/sharepoint/v3/contenttype/forms"/>
  </ds:schemaRefs>
</ds:datastoreItem>
</file>

<file path=customXml/itemProps4.xml><?xml version="1.0" encoding="utf-8"?>
<ds:datastoreItem xmlns:ds="http://schemas.openxmlformats.org/officeDocument/2006/customXml" ds:itemID="{B150319E-FFC6-424A-AD2A-3CEBD5A88CA5}">
  <ds:schemaRefs>
    <ds:schemaRef ds:uri="http://schemas.microsoft.com/office/2006/metadata/properties"/>
    <ds:schemaRef ds:uri="http://schemas.microsoft.com/office/infopath/2007/PartnerControls"/>
    <ds:schemaRef ds:uri="5ff4e5db-13ec-46ca-922b-aa09491106ae"/>
    <ds:schemaRef ds:uri="e66e352d-2b92-4888-a5cf-03034ba3d8f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TECH Word template</Template>
  <TotalTime>0</TotalTime>
  <Pages>3</Pages>
  <Words>21026</Words>
  <Characters>119852</Characters>
  <Application>Microsoft Office Word</Application>
  <DocSecurity>4</DocSecurity>
  <Lines>998</Lines>
  <Paragraphs>281</Paragraphs>
  <ScaleCrop>false</ScaleCrop>
  <HeadingPairs>
    <vt:vector size="2" baseType="variant">
      <vt:variant>
        <vt:lpstr>Title</vt:lpstr>
      </vt:variant>
      <vt:variant>
        <vt:i4>1</vt:i4>
      </vt:variant>
    </vt:vector>
  </HeadingPairs>
  <TitlesOfParts>
    <vt:vector size="1" baseType="lpstr">
      <vt:lpstr>Initiative Work Plans</vt:lpstr>
    </vt:vector>
  </TitlesOfParts>
  <Company/>
  <LinksUpToDate>false</LinksUpToDate>
  <CharactersWithSpaces>140597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Initiative Work Plans</dc:title>
  <dc:subject/>
  <dc:creator>Christina Cheuk</dc:creator>
  <cp:keywords/>
  <dc:description/>
  <cp:lastModifiedBy>Liza Bucchin</cp:lastModifiedBy>
  <cp:revision>2</cp:revision>
  <cp:lastPrinted>2021-11-05T21:12:00Z</cp:lastPrinted>
  <dcterms:created xsi:type="dcterms:W3CDTF">2022-04-18T19:20:00Z</dcterms:created>
  <dcterms:modified xsi:type="dcterms:W3CDTF">2022-04-18T19:20:00Z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0x01010074AD484B6EF52C4C90C445ED1DB42FE4</vt:lpwstr>
  </property>
</Properties>
</file>